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4"/>
      </w:tblGrid>
      <w:tr w:rsidR="00C07561" w:rsidRPr="00BB148B" w14:paraId="6DBD9E7D" w14:textId="77777777" w:rsidTr="00B56BC8">
        <w:tc>
          <w:tcPr>
            <w:tcW w:w="10064" w:type="dxa"/>
            <w:tcMar>
              <w:top w:w="0" w:type="dxa"/>
              <w:left w:w="108" w:type="dxa"/>
              <w:bottom w:w="0" w:type="dxa"/>
              <w:right w:w="108" w:type="dxa"/>
            </w:tcMar>
            <w:hideMark/>
          </w:tcPr>
          <w:p w14:paraId="2BBA98A0" w14:textId="535E6ADE" w:rsidR="00C07561" w:rsidRPr="00BB148B" w:rsidRDefault="00C07561" w:rsidP="001F26D3">
            <w:pPr>
              <w:ind w:left="567" w:hanging="425"/>
              <w:jc w:val="center"/>
              <w:rPr>
                <w:rFonts w:ascii="Arial" w:hAnsi="Arial" w:cs="Arial"/>
                <w:b/>
                <w:bCs/>
                <w:u w:val="single"/>
              </w:rPr>
            </w:pPr>
            <w:bookmarkStart w:id="0" w:name="_Hlk191564912"/>
            <w:r w:rsidRPr="00BB148B">
              <w:rPr>
                <w:rFonts w:ascii="Arial" w:hAnsi="Arial" w:cs="Arial"/>
                <w:b/>
                <w:bCs/>
                <w:u w:val="single"/>
              </w:rPr>
              <w:t xml:space="preserve">Early Years Funding </w:t>
            </w:r>
          </w:p>
        </w:tc>
      </w:tr>
      <w:tr w:rsidR="0000667A" w:rsidRPr="00BB148B" w14:paraId="798EF12E" w14:textId="77777777" w:rsidTr="00B56BC8">
        <w:tc>
          <w:tcPr>
            <w:tcW w:w="10064" w:type="dxa"/>
            <w:tcMar>
              <w:top w:w="0" w:type="dxa"/>
              <w:left w:w="108" w:type="dxa"/>
              <w:bottom w:w="0" w:type="dxa"/>
              <w:right w:w="108" w:type="dxa"/>
            </w:tcMar>
          </w:tcPr>
          <w:p w14:paraId="20A689AC" w14:textId="038194E3" w:rsidR="0000667A" w:rsidRDefault="00276E5B" w:rsidP="005B6A01">
            <w:pPr>
              <w:spacing w:line="276" w:lineRule="auto"/>
              <w:ind w:left="179" w:hanging="37"/>
              <w:rPr>
                <w:rFonts w:ascii="Arial" w:hAnsi="Arial" w:cs="Arial"/>
                <w:b/>
                <w:bCs/>
                <w:color w:val="000000" w:themeColor="text1"/>
              </w:rPr>
            </w:pPr>
            <w:r>
              <w:rPr>
                <w:rFonts w:ascii="Arial" w:hAnsi="Arial" w:cs="Arial"/>
                <w:b/>
                <w:bCs/>
                <w:color w:val="FF0000"/>
              </w:rPr>
              <w:t>NOW OPEN</w:t>
            </w:r>
            <w:r w:rsidR="00AF14EC">
              <w:rPr>
                <w:rFonts w:ascii="Arial" w:hAnsi="Arial" w:cs="Arial"/>
                <w:b/>
                <w:bCs/>
                <w:color w:val="FF0000"/>
              </w:rPr>
              <w:t xml:space="preserve"> – </w:t>
            </w:r>
            <w:r w:rsidR="00AF14EC">
              <w:rPr>
                <w:rFonts w:ascii="Arial" w:hAnsi="Arial" w:cs="Arial"/>
                <w:b/>
                <w:bCs/>
                <w:color w:val="000000" w:themeColor="text1"/>
              </w:rPr>
              <w:t xml:space="preserve">Summer Term 2026 Headcount </w:t>
            </w:r>
            <w:r w:rsidR="0023561A" w:rsidRPr="006322C3">
              <w:rPr>
                <w:rFonts w:ascii="Arial" w:hAnsi="Arial" w:cs="Arial"/>
                <w:b/>
                <w:bCs/>
                <w:color w:val="FF0000"/>
                <w:u w:val="single"/>
              </w:rPr>
              <w:t xml:space="preserve">must </w:t>
            </w:r>
            <w:r w:rsidR="0023561A">
              <w:rPr>
                <w:rFonts w:ascii="Arial" w:hAnsi="Arial" w:cs="Arial"/>
                <w:b/>
                <w:bCs/>
                <w:color w:val="000000" w:themeColor="text1"/>
              </w:rPr>
              <w:t xml:space="preserve">match </w:t>
            </w:r>
            <w:r w:rsidR="007D477E">
              <w:rPr>
                <w:rFonts w:ascii="Arial" w:hAnsi="Arial" w:cs="Arial"/>
                <w:b/>
                <w:bCs/>
                <w:color w:val="000000" w:themeColor="text1"/>
              </w:rPr>
              <w:t>MIS (e.g. Arbor/</w:t>
            </w:r>
            <w:proofErr w:type="spellStart"/>
            <w:r w:rsidR="007D477E">
              <w:rPr>
                <w:rFonts w:ascii="Arial" w:hAnsi="Arial" w:cs="Arial"/>
                <w:b/>
                <w:bCs/>
                <w:color w:val="000000" w:themeColor="text1"/>
              </w:rPr>
              <w:t>Bromcom</w:t>
            </w:r>
            <w:proofErr w:type="spellEnd"/>
            <w:r w:rsidR="007D477E">
              <w:rPr>
                <w:rFonts w:ascii="Arial" w:hAnsi="Arial" w:cs="Arial"/>
                <w:b/>
                <w:bCs/>
                <w:color w:val="000000" w:themeColor="text1"/>
              </w:rPr>
              <w:t xml:space="preserve">) and </w:t>
            </w:r>
            <w:r w:rsidR="0023561A">
              <w:rPr>
                <w:rFonts w:ascii="Arial" w:hAnsi="Arial" w:cs="Arial"/>
                <w:b/>
                <w:bCs/>
                <w:color w:val="000000" w:themeColor="text1"/>
              </w:rPr>
              <w:t xml:space="preserve">Census return. </w:t>
            </w:r>
          </w:p>
          <w:p w14:paraId="3ABC9FC7" w14:textId="323E2441" w:rsidR="00A02BF5" w:rsidRPr="00A02BF5" w:rsidRDefault="0023062A" w:rsidP="00A02BF5">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ymbol" w:cs="Segoe UI"/>
                <w:kern w:val="0"/>
                <w:sz w:val="21"/>
                <w:szCs w:val="21"/>
                <w:lang w:eastAsia="en-GB"/>
                <w14:ligatures w14:val="none"/>
              </w:rPr>
              <w:t></w:t>
            </w:r>
            <w:r w:rsidRPr="00A02BF5">
              <w:rPr>
                <w:rFonts w:ascii="Segoe UI" w:eastAsia="Times New Roman" w:hAnsi="Segoe UI" w:cs="Segoe UI"/>
                <w:kern w:val="0"/>
                <w:sz w:val="21"/>
                <w:szCs w:val="21"/>
                <w:lang w:eastAsia="en-GB"/>
                <w14:ligatures w14:val="none"/>
              </w:rPr>
              <w:t xml:space="preserve"> The</w:t>
            </w:r>
            <w:r w:rsidR="00A02BF5" w:rsidRPr="00A02BF5">
              <w:rPr>
                <w:rFonts w:ascii="Segoe UI" w:eastAsia="Times New Roman" w:hAnsi="Segoe UI" w:cs="Segoe UI"/>
                <w:kern w:val="0"/>
                <w:sz w:val="21"/>
                <w:szCs w:val="21"/>
                <w:lang w:eastAsia="en-GB"/>
                <w14:ligatures w14:val="none"/>
              </w:rPr>
              <w:t xml:space="preserve"> </w:t>
            </w:r>
            <w:r w:rsidR="00A02BF5">
              <w:rPr>
                <w:rFonts w:ascii="Segoe UI" w:eastAsia="Times New Roman" w:hAnsi="Segoe UI" w:cs="Segoe UI"/>
                <w:kern w:val="0"/>
                <w:sz w:val="21"/>
                <w:szCs w:val="21"/>
                <w:lang w:eastAsia="en-GB"/>
                <w14:ligatures w14:val="none"/>
              </w:rPr>
              <w:t xml:space="preserve">early years child data submitted via the </w:t>
            </w:r>
            <w:r w:rsidR="00A02BF5" w:rsidRPr="00A02BF5">
              <w:rPr>
                <w:rFonts w:ascii="Segoe UI" w:eastAsia="Times New Roman" w:hAnsi="Segoe UI" w:cs="Segoe UI"/>
                <w:b/>
                <w:bCs/>
                <w:kern w:val="0"/>
                <w:sz w:val="21"/>
                <w:szCs w:val="21"/>
                <w:lang w:eastAsia="en-GB"/>
                <w14:ligatures w14:val="none"/>
              </w:rPr>
              <w:t xml:space="preserve">School Census is the primary mechanism used </w:t>
            </w:r>
            <w:r w:rsidR="00A02BF5">
              <w:rPr>
                <w:rFonts w:ascii="Segoe UI" w:eastAsia="Times New Roman" w:hAnsi="Segoe UI" w:cs="Segoe UI"/>
                <w:b/>
                <w:bCs/>
                <w:kern w:val="0"/>
                <w:sz w:val="21"/>
                <w:szCs w:val="21"/>
                <w:lang w:eastAsia="en-GB"/>
                <w14:ligatures w14:val="none"/>
              </w:rPr>
              <w:t xml:space="preserve">by the Department for Education </w:t>
            </w:r>
            <w:r w:rsidR="00A02BF5" w:rsidRPr="00A02BF5">
              <w:rPr>
                <w:rFonts w:ascii="Segoe UI" w:eastAsia="Times New Roman" w:hAnsi="Segoe UI" w:cs="Segoe UI"/>
                <w:b/>
                <w:bCs/>
                <w:kern w:val="0"/>
                <w:sz w:val="21"/>
                <w:szCs w:val="21"/>
                <w:lang w:eastAsia="en-GB"/>
                <w14:ligatures w14:val="none"/>
              </w:rPr>
              <w:t xml:space="preserve">to </w:t>
            </w:r>
            <w:r w:rsidR="00A02BF5">
              <w:rPr>
                <w:rFonts w:ascii="Segoe UI" w:eastAsia="Times New Roman" w:hAnsi="Segoe UI" w:cs="Segoe UI"/>
                <w:b/>
                <w:bCs/>
                <w:kern w:val="0"/>
                <w:sz w:val="21"/>
                <w:szCs w:val="21"/>
                <w:lang w:eastAsia="en-GB"/>
                <w14:ligatures w14:val="none"/>
              </w:rPr>
              <w:t>fund the local authority for early years entitlement</w:t>
            </w:r>
            <w:r>
              <w:rPr>
                <w:rFonts w:ascii="Segoe UI" w:eastAsia="Times New Roman" w:hAnsi="Segoe UI" w:cs="Segoe UI"/>
                <w:b/>
                <w:bCs/>
                <w:kern w:val="0"/>
                <w:sz w:val="21"/>
                <w:szCs w:val="21"/>
                <w:lang w:eastAsia="en-GB"/>
                <w14:ligatures w14:val="none"/>
              </w:rPr>
              <w:t>s</w:t>
            </w:r>
            <w:r w:rsidR="00A02BF5">
              <w:rPr>
                <w:rFonts w:ascii="Segoe UI" w:eastAsia="Times New Roman" w:hAnsi="Segoe UI" w:cs="Segoe UI"/>
                <w:b/>
                <w:bCs/>
                <w:kern w:val="0"/>
                <w:sz w:val="21"/>
                <w:szCs w:val="21"/>
                <w:lang w:eastAsia="en-GB"/>
                <w14:ligatures w14:val="none"/>
              </w:rPr>
              <w:t xml:space="preserve"> </w:t>
            </w:r>
            <w:r w:rsidR="00A02BF5" w:rsidRPr="00A02BF5">
              <w:rPr>
                <w:rFonts w:ascii="Segoe UI" w:eastAsia="Times New Roman" w:hAnsi="Segoe UI" w:cs="Segoe UI"/>
                <w:b/>
                <w:bCs/>
                <w:kern w:val="0"/>
                <w:sz w:val="21"/>
                <w:szCs w:val="21"/>
                <w:lang w:eastAsia="en-GB"/>
                <w14:ligatures w14:val="none"/>
              </w:rPr>
              <w:t xml:space="preserve">for each </w:t>
            </w:r>
            <w:r w:rsidR="00A02BF5">
              <w:rPr>
                <w:rFonts w:ascii="Segoe UI" w:eastAsia="Times New Roman" w:hAnsi="Segoe UI" w:cs="Segoe UI"/>
                <w:b/>
                <w:bCs/>
                <w:kern w:val="0"/>
                <w:sz w:val="21"/>
                <w:szCs w:val="21"/>
                <w:lang w:eastAsia="en-GB"/>
                <w14:ligatures w14:val="none"/>
              </w:rPr>
              <w:t>term</w:t>
            </w:r>
            <w:r w:rsidR="00A02BF5" w:rsidRPr="00A02BF5">
              <w:rPr>
                <w:rFonts w:ascii="Segoe UI" w:eastAsia="Times New Roman" w:hAnsi="Segoe UI" w:cs="Segoe UI"/>
                <w:kern w:val="0"/>
                <w:sz w:val="21"/>
                <w:szCs w:val="21"/>
                <w:lang w:eastAsia="en-GB"/>
                <w14:ligatures w14:val="none"/>
              </w:rPr>
              <w:t xml:space="preserve">. Accurate and complete </w:t>
            </w:r>
            <w:r>
              <w:rPr>
                <w:rFonts w:ascii="Segoe UI" w:eastAsia="Times New Roman" w:hAnsi="Segoe UI" w:cs="Segoe UI"/>
                <w:kern w:val="0"/>
                <w:sz w:val="21"/>
                <w:szCs w:val="21"/>
                <w:lang w:eastAsia="en-GB"/>
                <w14:ligatures w14:val="none"/>
              </w:rPr>
              <w:t xml:space="preserve">early years </w:t>
            </w:r>
            <w:r w:rsidR="00A02BF5" w:rsidRPr="00A02BF5">
              <w:rPr>
                <w:rFonts w:ascii="Segoe UI" w:eastAsia="Times New Roman" w:hAnsi="Segoe UI" w:cs="Segoe UI"/>
                <w:kern w:val="0"/>
                <w:sz w:val="21"/>
                <w:szCs w:val="21"/>
                <w:lang w:eastAsia="en-GB"/>
                <w14:ligatures w14:val="none"/>
              </w:rPr>
              <w:t xml:space="preserve">data submission is therefore essential to ensure </w:t>
            </w:r>
            <w:r w:rsidR="00A02BF5">
              <w:rPr>
                <w:rFonts w:ascii="Segoe UI" w:eastAsia="Times New Roman" w:hAnsi="Segoe UI" w:cs="Segoe UI"/>
                <w:kern w:val="0"/>
                <w:sz w:val="21"/>
                <w:szCs w:val="21"/>
                <w:lang w:eastAsia="en-GB"/>
                <w14:ligatures w14:val="none"/>
              </w:rPr>
              <w:t xml:space="preserve">early years </w:t>
            </w:r>
            <w:r w:rsidR="00A02BF5" w:rsidRPr="00A02BF5">
              <w:rPr>
                <w:rFonts w:ascii="Segoe UI" w:eastAsia="Times New Roman" w:hAnsi="Segoe UI" w:cs="Segoe UI"/>
                <w:kern w:val="0"/>
                <w:sz w:val="21"/>
                <w:szCs w:val="21"/>
                <w:lang w:eastAsia="en-GB"/>
                <w14:ligatures w14:val="none"/>
              </w:rPr>
              <w:t xml:space="preserve">funding levels correctly reflect </w:t>
            </w:r>
            <w:r w:rsidR="00A02BF5">
              <w:rPr>
                <w:rFonts w:ascii="Segoe UI" w:eastAsia="Times New Roman" w:hAnsi="Segoe UI" w:cs="Segoe UI"/>
                <w:kern w:val="0"/>
                <w:sz w:val="21"/>
                <w:szCs w:val="21"/>
                <w:lang w:eastAsia="en-GB"/>
                <w14:ligatures w14:val="none"/>
              </w:rPr>
              <w:t xml:space="preserve">early years </w:t>
            </w:r>
            <w:r w:rsidR="00A02BF5" w:rsidRPr="00A02BF5">
              <w:rPr>
                <w:rFonts w:ascii="Segoe UI" w:eastAsia="Times New Roman" w:hAnsi="Segoe UI" w:cs="Segoe UI"/>
                <w:kern w:val="0"/>
                <w:sz w:val="21"/>
                <w:szCs w:val="21"/>
                <w:lang w:eastAsia="en-GB"/>
                <w14:ligatures w14:val="none"/>
              </w:rPr>
              <w:t>pupil attendance and entitlement.</w:t>
            </w:r>
          </w:p>
          <w:p w14:paraId="714A79B2" w14:textId="6E5B7AEE" w:rsidR="00A02BF5" w:rsidRPr="00A02BF5" w:rsidRDefault="0023062A" w:rsidP="00A02BF5">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ymbol" w:cs="Segoe UI"/>
                <w:kern w:val="0"/>
                <w:sz w:val="21"/>
                <w:szCs w:val="21"/>
                <w:lang w:eastAsia="en-GB"/>
                <w14:ligatures w14:val="none"/>
              </w:rPr>
              <w:t></w:t>
            </w:r>
            <w:r w:rsidRPr="00A02BF5">
              <w:rPr>
                <w:rFonts w:ascii="Segoe UI" w:eastAsia="Times New Roman" w:hAnsi="Segoe UI" w:cs="Segoe UI"/>
                <w:kern w:val="0"/>
                <w:sz w:val="21"/>
                <w:szCs w:val="21"/>
                <w:lang w:eastAsia="en-GB"/>
                <w14:ligatures w14:val="none"/>
              </w:rPr>
              <w:t xml:space="preserve"> Schools</w:t>
            </w:r>
            <w:r w:rsidR="00A02BF5" w:rsidRPr="00A02BF5">
              <w:rPr>
                <w:rFonts w:ascii="Segoe UI" w:eastAsia="Times New Roman" w:hAnsi="Segoe UI" w:cs="Segoe UI"/>
                <w:kern w:val="0"/>
                <w:sz w:val="21"/>
                <w:szCs w:val="21"/>
                <w:lang w:eastAsia="en-GB"/>
                <w14:ligatures w14:val="none"/>
              </w:rPr>
              <w:t xml:space="preserve"> must </w:t>
            </w:r>
            <w:r w:rsidR="00A02BF5" w:rsidRPr="00A02BF5">
              <w:rPr>
                <w:rFonts w:ascii="Segoe UI" w:eastAsia="Times New Roman" w:hAnsi="Segoe UI" w:cs="Segoe UI"/>
                <w:b/>
                <w:bCs/>
                <w:kern w:val="0"/>
                <w:sz w:val="21"/>
                <w:szCs w:val="21"/>
                <w:lang w:eastAsia="en-GB"/>
                <w14:ligatures w14:val="none"/>
              </w:rPr>
              <w:t xml:space="preserve">check all </w:t>
            </w:r>
            <w:r w:rsidR="00A02BF5">
              <w:rPr>
                <w:rFonts w:ascii="Segoe UI" w:eastAsia="Times New Roman" w:hAnsi="Segoe UI" w:cs="Segoe UI"/>
                <w:b/>
                <w:bCs/>
                <w:kern w:val="0"/>
                <w:sz w:val="21"/>
                <w:szCs w:val="21"/>
                <w:lang w:eastAsia="en-GB"/>
                <w14:ligatures w14:val="none"/>
              </w:rPr>
              <w:t xml:space="preserve">early </w:t>
            </w:r>
            <w:r w:rsidR="00B56BC8">
              <w:rPr>
                <w:rFonts w:ascii="Segoe UI" w:eastAsia="Times New Roman" w:hAnsi="Segoe UI" w:cs="Segoe UI"/>
                <w:b/>
                <w:bCs/>
                <w:kern w:val="0"/>
                <w:sz w:val="21"/>
                <w:szCs w:val="21"/>
                <w:lang w:eastAsia="en-GB"/>
                <w14:ligatures w14:val="none"/>
              </w:rPr>
              <w:t>year’s</w:t>
            </w:r>
            <w:r w:rsidR="00A02BF5">
              <w:rPr>
                <w:rFonts w:ascii="Segoe UI" w:eastAsia="Times New Roman" w:hAnsi="Segoe UI" w:cs="Segoe UI"/>
                <w:b/>
                <w:bCs/>
                <w:kern w:val="0"/>
                <w:sz w:val="21"/>
                <w:szCs w:val="21"/>
                <w:lang w:eastAsia="en-GB"/>
                <w14:ligatures w14:val="none"/>
              </w:rPr>
              <w:t xml:space="preserve"> </w:t>
            </w:r>
            <w:r w:rsidR="00A02BF5" w:rsidRPr="00A02BF5">
              <w:rPr>
                <w:rFonts w:ascii="Segoe UI" w:eastAsia="Times New Roman" w:hAnsi="Segoe UI" w:cs="Segoe UI"/>
                <w:b/>
                <w:bCs/>
                <w:kern w:val="0"/>
                <w:sz w:val="21"/>
                <w:szCs w:val="21"/>
                <w:lang w:eastAsia="en-GB"/>
                <w14:ligatures w14:val="none"/>
              </w:rPr>
              <w:t>census data thoroughly before submission</w:t>
            </w:r>
            <w:r w:rsidR="00A02BF5" w:rsidRPr="00A02BF5">
              <w:rPr>
                <w:rFonts w:ascii="Segoe UI" w:eastAsia="Times New Roman" w:hAnsi="Segoe UI" w:cs="Segoe UI"/>
                <w:kern w:val="0"/>
                <w:sz w:val="21"/>
                <w:szCs w:val="21"/>
                <w:lang w:eastAsia="en-GB"/>
                <w14:ligatures w14:val="none"/>
              </w:rPr>
              <w:t xml:space="preserve"> to ensure it accurately reflects the school’s records. Census data is also used to:</w:t>
            </w:r>
          </w:p>
          <w:p w14:paraId="512B8ACA" w14:textId="77777777" w:rsidR="00A02BF5" w:rsidRPr="00A02BF5" w:rsidRDefault="00A02BF5" w:rsidP="0023062A">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egoe UI" w:cs="Segoe UI"/>
                <w:kern w:val="0"/>
                <w:sz w:val="21"/>
                <w:szCs w:val="21"/>
                <w:lang w:eastAsia="en-GB"/>
                <w14:ligatures w14:val="none"/>
              </w:rPr>
              <w:t xml:space="preserve">Calculate </w:t>
            </w:r>
            <w:r w:rsidRPr="00A02BF5">
              <w:rPr>
                <w:rFonts w:ascii="Segoe UI" w:eastAsia="Times New Roman" w:hAnsi="Segoe UI" w:cs="Segoe UI"/>
                <w:b/>
                <w:bCs/>
                <w:kern w:val="0"/>
                <w:sz w:val="21"/>
                <w:szCs w:val="21"/>
                <w:lang w:eastAsia="en-GB"/>
                <w14:ligatures w14:val="none"/>
              </w:rPr>
              <w:t>early years funding within schools</w:t>
            </w:r>
          </w:p>
          <w:p w14:paraId="358503BA" w14:textId="3DFAE92A" w:rsidR="00A02BF5" w:rsidRPr="00A02BF5" w:rsidRDefault="00A02BF5" w:rsidP="0023062A">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egoe UI" w:cs="Segoe UI"/>
                <w:kern w:val="0"/>
                <w:sz w:val="21"/>
                <w:szCs w:val="21"/>
                <w:lang w:eastAsia="en-GB"/>
                <w14:ligatures w14:val="none"/>
              </w:rPr>
              <w:t xml:space="preserve">Determine eligibility and payments for </w:t>
            </w:r>
            <w:r w:rsidRPr="00A02BF5">
              <w:rPr>
                <w:rFonts w:ascii="Segoe UI" w:eastAsia="Times New Roman" w:hAnsi="Segoe UI" w:cs="Segoe UI"/>
                <w:b/>
                <w:bCs/>
                <w:kern w:val="0"/>
                <w:sz w:val="21"/>
                <w:szCs w:val="21"/>
                <w:lang w:eastAsia="en-GB"/>
                <w14:ligatures w14:val="none"/>
              </w:rPr>
              <w:t>Early Years Pupil Premium (EYPP)</w:t>
            </w:r>
            <w:r w:rsidR="0023062A" w:rsidRPr="0023062A">
              <w:rPr>
                <w:rFonts w:ascii="Segoe UI" w:eastAsia="Times New Roman" w:hAnsi="Segoe UI" w:cs="Segoe UI"/>
                <w:b/>
                <w:bCs/>
                <w:kern w:val="0"/>
                <w:sz w:val="21"/>
                <w:szCs w:val="21"/>
                <w:lang w:eastAsia="en-GB"/>
                <w14:ligatures w14:val="none"/>
              </w:rPr>
              <w:t xml:space="preserve"> and </w:t>
            </w:r>
            <w:r w:rsidRPr="00A02BF5">
              <w:rPr>
                <w:rFonts w:ascii="Segoe UI" w:eastAsia="Times New Roman" w:hAnsi="Segoe UI" w:cs="Segoe UI"/>
                <w:b/>
                <w:bCs/>
                <w:kern w:val="0"/>
                <w:sz w:val="21"/>
                <w:szCs w:val="21"/>
                <w:lang w:eastAsia="en-GB"/>
                <w14:ligatures w14:val="none"/>
              </w:rPr>
              <w:t>Disability Access Funding (DAF)</w:t>
            </w:r>
            <w:r w:rsidR="0023062A">
              <w:rPr>
                <w:rFonts w:ascii="Segoe UI" w:eastAsia="Times New Roman" w:hAnsi="Segoe UI" w:cs="Segoe UI"/>
                <w:b/>
                <w:bCs/>
                <w:kern w:val="0"/>
                <w:sz w:val="21"/>
                <w:szCs w:val="21"/>
                <w:lang w:eastAsia="en-GB"/>
                <w14:ligatures w14:val="none"/>
              </w:rPr>
              <w:t>.</w:t>
            </w:r>
          </w:p>
          <w:p w14:paraId="4AECC060" w14:textId="4435B5BC" w:rsidR="00A02BF5" w:rsidRPr="00A02BF5" w:rsidRDefault="0023062A" w:rsidP="00A02BF5">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ymbol" w:cs="Segoe UI"/>
                <w:kern w:val="0"/>
                <w:sz w:val="21"/>
                <w:szCs w:val="21"/>
                <w:lang w:eastAsia="en-GB"/>
                <w14:ligatures w14:val="none"/>
              </w:rPr>
              <w:t></w:t>
            </w:r>
            <w:r w:rsidRPr="00A02BF5">
              <w:rPr>
                <w:rFonts w:ascii="Segoe UI" w:eastAsia="Times New Roman" w:hAnsi="Segoe UI" w:cs="Segoe UI"/>
                <w:kern w:val="0"/>
                <w:sz w:val="21"/>
                <w:szCs w:val="21"/>
                <w:lang w:eastAsia="en-GB"/>
                <w14:ligatures w14:val="none"/>
              </w:rPr>
              <w:t xml:space="preserve"> Schools</w:t>
            </w:r>
            <w:r w:rsidR="00A02BF5" w:rsidRPr="00A02BF5">
              <w:rPr>
                <w:rFonts w:ascii="Segoe UI" w:eastAsia="Times New Roman" w:hAnsi="Segoe UI" w:cs="Segoe UI"/>
                <w:kern w:val="0"/>
                <w:sz w:val="21"/>
                <w:szCs w:val="21"/>
                <w:lang w:eastAsia="en-GB"/>
                <w14:ligatures w14:val="none"/>
              </w:rPr>
              <w:t xml:space="preserve"> should </w:t>
            </w:r>
            <w:r w:rsidR="00A02BF5" w:rsidRPr="00A02BF5">
              <w:rPr>
                <w:rFonts w:ascii="Segoe UI" w:eastAsia="Times New Roman" w:hAnsi="Segoe UI" w:cs="Segoe UI"/>
                <w:b/>
                <w:bCs/>
                <w:kern w:val="0"/>
                <w:sz w:val="21"/>
                <w:szCs w:val="21"/>
                <w:lang w:eastAsia="en-GB"/>
                <w14:ligatures w14:val="none"/>
              </w:rPr>
              <w:t>submit the Summer Term Early Years headcount via the Synergy Provider Portal as early as possible</w:t>
            </w:r>
            <w:r w:rsidR="00A02BF5" w:rsidRPr="00A02BF5">
              <w:rPr>
                <w:rFonts w:ascii="Segoe UI" w:eastAsia="Times New Roman" w:hAnsi="Segoe UI" w:cs="Segoe UI"/>
                <w:kern w:val="0"/>
                <w:sz w:val="21"/>
                <w:szCs w:val="21"/>
                <w:lang w:eastAsia="en-GB"/>
                <w14:ligatures w14:val="none"/>
              </w:rPr>
              <w:t xml:space="preserve">. Do not wait until headcount week, as submissions can be </w:t>
            </w:r>
            <w:r w:rsidR="00A02BF5" w:rsidRPr="00A02BF5">
              <w:rPr>
                <w:rFonts w:ascii="Segoe UI" w:eastAsia="Times New Roman" w:hAnsi="Segoe UI" w:cs="Segoe UI"/>
                <w:b/>
                <w:bCs/>
                <w:kern w:val="0"/>
                <w:sz w:val="21"/>
                <w:szCs w:val="21"/>
                <w:lang w:eastAsia="en-GB"/>
                <w14:ligatures w14:val="none"/>
              </w:rPr>
              <w:t>amended at any point up to the published deadline</w:t>
            </w:r>
            <w:r w:rsidR="00A02BF5" w:rsidRPr="00A02BF5">
              <w:rPr>
                <w:rFonts w:ascii="Segoe UI" w:eastAsia="Times New Roman" w:hAnsi="Segoe UI" w:cs="Segoe UI"/>
                <w:kern w:val="0"/>
                <w:sz w:val="21"/>
                <w:szCs w:val="21"/>
                <w:lang w:eastAsia="en-GB"/>
                <w14:ligatures w14:val="none"/>
              </w:rPr>
              <w:t>.</w:t>
            </w:r>
          </w:p>
          <w:p w14:paraId="779CF97D" w14:textId="4D4C9BBA" w:rsidR="00A02BF5" w:rsidRPr="00A02BF5" w:rsidRDefault="0023062A" w:rsidP="00A02BF5">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ymbol" w:cs="Segoe UI"/>
                <w:kern w:val="0"/>
                <w:sz w:val="21"/>
                <w:szCs w:val="21"/>
                <w:lang w:eastAsia="en-GB"/>
                <w14:ligatures w14:val="none"/>
              </w:rPr>
              <w:t></w:t>
            </w:r>
            <w:r w:rsidRPr="00A02BF5">
              <w:rPr>
                <w:rFonts w:ascii="Segoe UI" w:eastAsia="Times New Roman" w:hAnsi="Segoe UI" w:cs="Segoe UI"/>
                <w:kern w:val="0"/>
                <w:sz w:val="21"/>
                <w:szCs w:val="21"/>
                <w:lang w:eastAsia="en-GB"/>
                <w14:ligatures w14:val="none"/>
              </w:rPr>
              <w:t xml:space="preserve"> It</w:t>
            </w:r>
            <w:r w:rsidR="00A02BF5" w:rsidRPr="00A02BF5">
              <w:rPr>
                <w:rFonts w:ascii="Segoe UI" w:eastAsia="Times New Roman" w:hAnsi="Segoe UI" w:cs="Segoe UI"/>
                <w:kern w:val="0"/>
                <w:sz w:val="21"/>
                <w:szCs w:val="21"/>
                <w:lang w:eastAsia="en-GB"/>
                <w14:ligatures w14:val="none"/>
              </w:rPr>
              <w:t xml:space="preserve"> is essential that </w:t>
            </w:r>
            <w:r w:rsidR="00A02BF5" w:rsidRPr="00A02BF5">
              <w:rPr>
                <w:rFonts w:ascii="Segoe UI" w:eastAsia="Times New Roman" w:hAnsi="Segoe UI" w:cs="Segoe UI"/>
                <w:b/>
                <w:bCs/>
                <w:kern w:val="0"/>
                <w:sz w:val="21"/>
                <w:szCs w:val="21"/>
                <w:lang w:eastAsia="en-GB"/>
                <w14:ligatures w14:val="none"/>
              </w:rPr>
              <w:t xml:space="preserve">all child data matches across </w:t>
            </w:r>
            <w:r w:rsidR="00A02BF5">
              <w:rPr>
                <w:rFonts w:ascii="Segoe UI" w:eastAsia="Times New Roman" w:hAnsi="Segoe UI" w:cs="Segoe UI"/>
                <w:b/>
                <w:bCs/>
                <w:kern w:val="0"/>
                <w:sz w:val="21"/>
                <w:szCs w:val="21"/>
                <w:lang w:eastAsia="en-GB"/>
                <w14:ligatures w14:val="none"/>
              </w:rPr>
              <w:t xml:space="preserve">all </w:t>
            </w:r>
            <w:r w:rsidR="00A02BF5" w:rsidRPr="00A02BF5">
              <w:rPr>
                <w:rFonts w:ascii="Segoe UI" w:eastAsia="Times New Roman" w:hAnsi="Segoe UI" w:cs="Segoe UI"/>
                <w:b/>
                <w:bCs/>
                <w:kern w:val="0"/>
                <w:sz w:val="21"/>
                <w:szCs w:val="21"/>
                <w:lang w:eastAsia="en-GB"/>
                <w14:ligatures w14:val="none"/>
              </w:rPr>
              <w:t>systems</w:t>
            </w:r>
            <w:r>
              <w:rPr>
                <w:rFonts w:ascii="Segoe UI" w:eastAsia="Times New Roman" w:hAnsi="Segoe UI" w:cs="Segoe UI"/>
                <w:b/>
                <w:bCs/>
                <w:kern w:val="0"/>
                <w:sz w:val="21"/>
                <w:szCs w:val="21"/>
                <w:lang w:eastAsia="en-GB"/>
                <w14:ligatures w14:val="none"/>
              </w:rPr>
              <w:t xml:space="preserve"> for all funded entitlement, </w:t>
            </w:r>
            <w:r w:rsidRPr="0023062A">
              <w:rPr>
                <w:rFonts w:ascii="Segoe UI" w:eastAsia="Times New Roman" w:hAnsi="Segoe UI" w:cs="Segoe UI"/>
                <w:kern w:val="0"/>
                <w:sz w:val="21"/>
                <w:szCs w:val="21"/>
                <w:lang w:eastAsia="en-GB"/>
                <w14:ligatures w14:val="none"/>
              </w:rPr>
              <w:t>e.g. 3&amp;4 year old Universal (funded)</w:t>
            </w:r>
            <w:r w:rsidR="00A02BF5" w:rsidRPr="00A02BF5">
              <w:rPr>
                <w:rFonts w:ascii="Segoe UI" w:eastAsia="Times New Roman" w:hAnsi="Segoe UI" w:cs="Segoe UI"/>
                <w:kern w:val="0"/>
                <w:sz w:val="21"/>
                <w:szCs w:val="21"/>
                <w:lang w:eastAsia="en-GB"/>
                <w14:ligatures w14:val="none"/>
              </w:rPr>
              <w:t>,</w:t>
            </w:r>
            <w:r w:rsidRPr="0023062A">
              <w:rPr>
                <w:rFonts w:ascii="Segoe UI" w:eastAsia="Times New Roman" w:hAnsi="Segoe UI" w:cs="Segoe UI"/>
                <w:kern w:val="0"/>
                <w:sz w:val="21"/>
                <w:szCs w:val="21"/>
                <w:lang w:eastAsia="en-GB"/>
                <w14:ligatures w14:val="none"/>
              </w:rPr>
              <w:t xml:space="preserve"> 3&amp;4 year old Extended (Extended), Early Learning for 2 year old (funded), 2 year old working parent entitlement (Expanded) and 9 -23 month (Expanded)</w:t>
            </w:r>
            <w:r w:rsidR="00A02BF5" w:rsidRPr="00A02BF5">
              <w:rPr>
                <w:rFonts w:ascii="Segoe UI" w:eastAsia="Times New Roman" w:hAnsi="Segoe UI" w:cs="Segoe UI"/>
                <w:kern w:val="0"/>
                <w:sz w:val="21"/>
                <w:szCs w:val="21"/>
                <w:lang w:eastAsia="en-GB"/>
                <w14:ligatures w14:val="none"/>
              </w:rPr>
              <w:t xml:space="preserve"> including:</w:t>
            </w:r>
          </w:p>
          <w:p w14:paraId="5C1C2FB6" w14:textId="18D44AC0" w:rsidR="00A02BF5" w:rsidRPr="00A02BF5" w:rsidRDefault="00A02BF5" w:rsidP="0023062A">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egoe UI" w:cs="Segoe UI"/>
                <w:kern w:val="0"/>
                <w:sz w:val="21"/>
                <w:szCs w:val="21"/>
                <w:lang w:eastAsia="en-GB"/>
                <w14:ligatures w14:val="none"/>
              </w:rPr>
              <w:t>School MIS</w:t>
            </w:r>
            <w:r>
              <w:rPr>
                <w:rFonts w:ascii="Segoe UI" w:eastAsia="Times New Roman" w:hAnsi="Segoe UI" w:cs="Segoe UI"/>
                <w:kern w:val="0"/>
                <w:sz w:val="21"/>
                <w:szCs w:val="21"/>
                <w:lang w:eastAsia="en-GB"/>
                <w14:ligatures w14:val="none"/>
              </w:rPr>
              <w:t xml:space="preserve"> e.g. ARBOR, BROMCOM</w:t>
            </w:r>
          </w:p>
          <w:p w14:paraId="405F4A56" w14:textId="77777777" w:rsidR="00A02BF5" w:rsidRPr="00A02BF5" w:rsidRDefault="00A02BF5" w:rsidP="0023062A">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egoe UI" w:cs="Segoe UI"/>
                <w:kern w:val="0"/>
                <w:sz w:val="21"/>
                <w:szCs w:val="21"/>
                <w:lang w:eastAsia="en-GB"/>
                <w14:ligatures w14:val="none"/>
              </w:rPr>
              <w:t>Synergy Provider Portal</w:t>
            </w:r>
          </w:p>
          <w:p w14:paraId="451809D4" w14:textId="15B7EC49" w:rsidR="0023062A" w:rsidRPr="0023062A" w:rsidRDefault="00A02BF5" w:rsidP="0023062A">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egoe UI" w:cs="Segoe UI"/>
                <w:kern w:val="0"/>
                <w:sz w:val="21"/>
                <w:szCs w:val="21"/>
                <w:lang w:eastAsia="en-GB"/>
                <w14:ligatures w14:val="none"/>
              </w:rPr>
              <w:t>School Census</w:t>
            </w:r>
            <w:r w:rsidRPr="0023062A">
              <w:rPr>
                <w:rFonts w:ascii="Segoe UI" w:eastAsia="Times New Roman" w:hAnsi="Segoe UI" w:cs="Segoe UI"/>
                <w:kern w:val="0"/>
                <w:sz w:val="21"/>
                <w:szCs w:val="21"/>
                <w:lang w:eastAsia="en-GB"/>
                <w14:ligatures w14:val="none"/>
              </w:rPr>
              <w:t xml:space="preserve"> via COLLECT</w:t>
            </w:r>
          </w:p>
          <w:p w14:paraId="5CCE7E1F" w14:textId="3BA2464E" w:rsidR="00A02BF5" w:rsidRPr="0023062A" w:rsidRDefault="00A02BF5" w:rsidP="0023062A">
            <w:pPr>
              <w:pStyle w:val="ListParagraph"/>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3062A">
              <w:rPr>
                <w:rFonts w:ascii="Segoe UI" w:eastAsia="Times New Roman" w:hAnsi="Segoe UI" w:cs="Segoe UI"/>
                <w:b/>
                <w:bCs/>
                <w:kern w:val="0"/>
                <w:sz w:val="21"/>
                <w:szCs w:val="21"/>
                <w:lang w:eastAsia="en-GB"/>
                <w14:ligatures w14:val="none"/>
              </w:rPr>
              <w:t>Weekly checks on EYPP eligibility should be undertaken</w:t>
            </w:r>
            <w:r w:rsidRPr="0023062A">
              <w:rPr>
                <w:rFonts w:ascii="Segoe UI" w:eastAsia="Times New Roman" w:hAnsi="Segoe UI" w:cs="Segoe UI"/>
                <w:kern w:val="0"/>
                <w:sz w:val="21"/>
                <w:szCs w:val="21"/>
                <w:lang w:eastAsia="en-GB"/>
                <w14:ligatures w14:val="none"/>
              </w:rPr>
              <w:t xml:space="preserve">, but this can only be completed once the </w:t>
            </w:r>
            <w:r w:rsidRPr="0023062A">
              <w:rPr>
                <w:rFonts w:ascii="Segoe UI" w:eastAsia="Times New Roman" w:hAnsi="Segoe UI" w:cs="Segoe UI"/>
                <w:b/>
                <w:bCs/>
                <w:kern w:val="0"/>
                <w:sz w:val="21"/>
                <w:szCs w:val="21"/>
                <w:lang w:eastAsia="en-GB"/>
                <w14:ligatures w14:val="none"/>
              </w:rPr>
              <w:t>headcount on the Synergy Provider Portal has been processed by the Early Years Funding Team (EYFT)</w:t>
            </w:r>
            <w:r w:rsidRPr="0023062A">
              <w:rPr>
                <w:rFonts w:ascii="Segoe UI" w:eastAsia="Times New Roman" w:hAnsi="Segoe UI" w:cs="Segoe UI"/>
                <w:kern w:val="0"/>
                <w:sz w:val="21"/>
                <w:szCs w:val="21"/>
                <w:lang w:eastAsia="en-GB"/>
                <w14:ligatures w14:val="none"/>
              </w:rPr>
              <w:t>. Completing these checks early will significantly reduce issues when uploading Census data.</w:t>
            </w:r>
          </w:p>
          <w:p w14:paraId="78C961A5" w14:textId="56B3CFA9" w:rsidR="00A02BF5" w:rsidRPr="00A02BF5" w:rsidRDefault="0023062A" w:rsidP="00A02BF5">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ymbol" w:cs="Segoe UI"/>
                <w:kern w:val="0"/>
                <w:sz w:val="21"/>
                <w:szCs w:val="21"/>
                <w:lang w:eastAsia="en-GB"/>
                <w14:ligatures w14:val="none"/>
              </w:rPr>
              <w:t></w:t>
            </w:r>
            <w:r w:rsidRPr="00A02BF5">
              <w:rPr>
                <w:rFonts w:ascii="Segoe UI" w:eastAsia="Times New Roman" w:hAnsi="Segoe UI" w:cs="Segoe UI"/>
                <w:kern w:val="0"/>
                <w:sz w:val="21"/>
                <w:szCs w:val="21"/>
                <w:lang w:eastAsia="en-GB"/>
                <w14:ligatures w14:val="none"/>
              </w:rPr>
              <w:t xml:space="preserve"> Schools</w:t>
            </w:r>
            <w:r w:rsidR="00A02BF5" w:rsidRPr="00A02BF5">
              <w:rPr>
                <w:rFonts w:ascii="Segoe UI" w:eastAsia="Times New Roman" w:hAnsi="Segoe UI" w:cs="Segoe UI"/>
                <w:kern w:val="0"/>
                <w:sz w:val="21"/>
                <w:szCs w:val="21"/>
                <w:lang w:eastAsia="en-GB"/>
                <w14:ligatures w14:val="none"/>
              </w:rPr>
              <w:t xml:space="preserve"> may </w:t>
            </w:r>
            <w:r w:rsidR="00A02BF5" w:rsidRPr="00A02BF5">
              <w:rPr>
                <w:rFonts w:ascii="Segoe UI" w:eastAsia="Times New Roman" w:hAnsi="Segoe UI" w:cs="Segoe UI"/>
                <w:b/>
                <w:bCs/>
                <w:kern w:val="0"/>
                <w:sz w:val="21"/>
                <w:szCs w:val="21"/>
                <w:lang w:eastAsia="en-GB"/>
                <w14:ligatures w14:val="none"/>
              </w:rPr>
              <w:t>only claim funded hours for children who are registered and attending during Headcount Week</w:t>
            </w:r>
            <w:r w:rsidR="00A02BF5" w:rsidRPr="00A02BF5">
              <w:rPr>
                <w:rFonts w:ascii="Segoe UI" w:eastAsia="Times New Roman" w:hAnsi="Segoe UI" w:cs="Segoe UI"/>
                <w:kern w:val="0"/>
                <w:sz w:val="21"/>
                <w:szCs w:val="21"/>
                <w:lang w:eastAsia="en-GB"/>
                <w14:ligatures w14:val="none"/>
              </w:rPr>
              <w:t xml:space="preserve">, which runs from </w:t>
            </w:r>
            <w:r w:rsidR="00A02BF5" w:rsidRPr="00A02BF5">
              <w:rPr>
                <w:rFonts w:ascii="Segoe UI" w:eastAsia="Times New Roman" w:hAnsi="Segoe UI" w:cs="Segoe UI"/>
                <w:b/>
                <w:bCs/>
                <w:kern w:val="0"/>
                <w:sz w:val="21"/>
                <w:szCs w:val="21"/>
                <w:lang w:eastAsia="en-GB"/>
                <w14:ligatures w14:val="none"/>
              </w:rPr>
              <w:t>18–22 May 2026</w:t>
            </w:r>
            <w:r w:rsidR="00A02BF5" w:rsidRPr="00A02BF5">
              <w:rPr>
                <w:rFonts w:ascii="Segoe UI" w:eastAsia="Times New Roman" w:hAnsi="Segoe UI" w:cs="Segoe UI"/>
                <w:kern w:val="0"/>
                <w:sz w:val="21"/>
                <w:szCs w:val="21"/>
                <w:lang w:eastAsia="en-GB"/>
                <w14:ligatures w14:val="none"/>
              </w:rPr>
              <w:t>.</w:t>
            </w:r>
          </w:p>
          <w:p w14:paraId="60B3F6D8" w14:textId="25CBC9BC" w:rsidR="00A02BF5" w:rsidRPr="00A02BF5" w:rsidRDefault="0023062A" w:rsidP="00A02BF5">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02BF5">
              <w:rPr>
                <w:rFonts w:ascii="Segoe UI" w:eastAsia="Times New Roman" w:hAnsi="Symbol" w:cs="Segoe UI"/>
                <w:kern w:val="0"/>
                <w:sz w:val="21"/>
                <w:szCs w:val="21"/>
                <w:lang w:eastAsia="en-GB"/>
                <w14:ligatures w14:val="none"/>
              </w:rPr>
              <w:t></w:t>
            </w:r>
            <w:r w:rsidRPr="00A02BF5">
              <w:rPr>
                <w:rFonts w:ascii="Segoe UI" w:eastAsia="Times New Roman" w:hAnsi="Segoe UI" w:cs="Segoe UI"/>
                <w:kern w:val="0"/>
                <w:sz w:val="21"/>
                <w:szCs w:val="21"/>
                <w:lang w:eastAsia="en-GB"/>
                <w14:ligatures w14:val="none"/>
              </w:rPr>
              <w:t xml:space="preserve"> A</w:t>
            </w:r>
            <w:r w:rsidR="00A02BF5" w:rsidRPr="00A02BF5">
              <w:rPr>
                <w:rFonts w:ascii="Segoe UI" w:eastAsia="Times New Roman" w:hAnsi="Segoe UI" w:cs="Segoe UI"/>
                <w:kern w:val="0"/>
                <w:sz w:val="21"/>
                <w:szCs w:val="21"/>
                <w:lang w:eastAsia="en-GB"/>
                <w14:ligatures w14:val="none"/>
              </w:rPr>
              <w:t xml:space="preserve"> </w:t>
            </w:r>
            <w:r w:rsidR="00A02BF5" w:rsidRPr="00A02BF5">
              <w:rPr>
                <w:rFonts w:ascii="Segoe UI" w:eastAsia="Times New Roman" w:hAnsi="Segoe UI" w:cs="Segoe UI"/>
                <w:b/>
                <w:bCs/>
                <w:kern w:val="0"/>
                <w:sz w:val="21"/>
                <w:szCs w:val="21"/>
                <w:lang w:eastAsia="en-GB"/>
                <w14:ligatures w14:val="none"/>
              </w:rPr>
              <w:t>valid Parental Agreement</w:t>
            </w:r>
            <w:r w:rsidR="00A02BF5" w:rsidRPr="00A02BF5">
              <w:rPr>
                <w:rFonts w:ascii="Segoe UI" w:eastAsia="Times New Roman" w:hAnsi="Segoe UI" w:cs="Segoe UI"/>
                <w:kern w:val="0"/>
                <w:sz w:val="21"/>
                <w:szCs w:val="21"/>
                <w:lang w:eastAsia="en-GB"/>
                <w14:ligatures w14:val="none"/>
              </w:rPr>
              <w:t xml:space="preserve"> must be in place </w:t>
            </w:r>
            <w:r w:rsidR="00A02BF5" w:rsidRPr="00A02BF5">
              <w:rPr>
                <w:rFonts w:ascii="Segoe UI" w:eastAsia="Times New Roman" w:hAnsi="Segoe UI" w:cs="Segoe UI"/>
                <w:b/>
                <w:bCs/>
                <w:kern w:val="0"/>
                <w:sz w:val="21"/>
                <w:szCs w:val="21"/>
                <w:lang w:eastAsia="en-GB"/>
                <w14:ligatures w14:val="none"/>
              </w:rPr>
              <w:t>before any funding claim can be made</w:t>
            </w:r>
            <w:r w:rsidR="00A02BF5" w:rsidRPr="00A02BF5">
              <w:rPr>
                <w:rFonts w:ascii="Segoe UI" w:eastAsia="Times New Roman" w:hAnsi="Segoe UI" w:cs="Segoe UI"/>
                <w:kern w:val="0"/>
                <w:sz w:val="21"/>
                <w:szCs w:val="21"/>
                <w:lang w:eastAsia="en-GB"/>
                <w14:ligatures w14:val="none"/>
              </w:rPr>
              <w:t>. Claims submitted without a valid agreement may be rejected.</w:t>
            </w:r>
          </w:p>
          <w:p w14:paraId="2C8B5D81" w14:textId="74792856" w:rsidR="0000667A" w:rsidRPr="00BB148B" w:rsidRDefault="0023062A" w:rsidP="0023062A">
            <w:pPr>
              <w:spacing w:before="100" w:beforeAutospacing="1" w:after="100" w:afterAutospacing="1" w:line="300" w:lineRule="atLeast"/>
              <w:rPr>
                <w:b/>
                <w:bCs/>
              </w:rPr>
            </w:pPr>
            <w:r w:rsidRPr="00A02BF5">
              <w:rPr>
                <w:rFonts w:ascii="Segoe UI" w:eastAsia="Times New Roman" w:hAnsi="Symbol" w:cs="Segoe UI"/>
                <w:kern w:val="0"/>
                <w:sz w:val="21"/>
                <w:szCs w:val="21"/>
                <w:lang w:eastAsia="en-GB"/>
                <w14:ligatures w14:val="none"/>
              </w:rPr>
              <w:t></w:t>
            </w:r>
            <w:r w:rsidRPr="00A02BF5">
              <w:rPr>
                <w:rFonts w:ascii="Segoe UI" w:eastAsia="Times New Roman" w:hAnsi="Segoe UI" w:cs="Segoe UI"/>
                <w:kern w:val="0"/>
                <w:sz w:val="21"/>
                <w:szCs w:val="21"/>
                <w:lang w:eastAsia="en-GB"/>
                <w14:ligatures w14:val="none"/>
              </w:rPr>
              <w:t xml:space="preserve"> Disability</w:t>
            </w:r>
            <w:r w:rsidR="00A02BF5" w:rsidRPr="00A02BF5">
              <w:rPr>
                <w:rFonts w:ascii="Segoe UI" w:eastAsia="Times New Roman" w:hAnsi="Segoe UI" w:cs="Segoe UI"/>
                <w:b/>
                <w:bCs/>
                <w:kern w:val="0"/>
                <w:sz w:val="21"/>
                <w:szCs w:val="21"/>
                <w:lang w:eastAsia="en-GB"/>
                <w14:ligatures w14:val="none"/>
              </w:rPr>
              <w:t xml:space="preserve"> Access Funding (DAF) evidence must be submitted by Friday 22 May 2026</w:t>
            </w:r>
            <w:r w:rsidR="00A02BF5" w:rsidRPr="00A02BF5">
              <w:rPr>
                <w:rFonts w:ascii="Segoe UI" w:eastAsia="Times New Roman" w:hAnsi="Segoe UI" w:cs="Segoe UI"/>
                <w:kern w:val="0"/>
                <w:sz w:val="21"/>
                <w:szCs w:val="21"/>
                <w:lang w:eastAsia="en-GB"/>
                <w14:ligatures w14:val="none"/>
              </w:rPr>
              <w:t>. Late submissions cannot be guaranteed for payment.</w:t>
            </w:r>
          </w:p>
        </w:tc>
      </w:tr>
      <w:tr w:rsidR="00D84EEB" w:rsidRPr="00BB148B" w14:paraId="438376F4" w14:textId="77777777" w:rsidTr="00B56BC8">
        <w:trPr>
          <w:trHeight w:val="1386"/>
        </w:trPr>
        <w:tc>
          <w:tcPr>
            <w:tcW w:w="10064" w:type="dxa"/>
          </w:tcPr>
          <w:p w14:paraId="533D37AE" w14:textId="76F46A0C" w:rsidR="00C41E6E" w:rsidRDefault="00C41E6E" w:rsidP="0000667A">
            <w:pPr>
              <w:spacing w:line="276" w:lineRule="auto"/>
              <w:ind w:left="567" w:hanging="283"/>
              <w:rPr>
                <w:rFonts w:ascii="Arial" w:hAnsi="Arial" w:cs="Arial"/>
                <w:b/>
                <w:bCs/>
              </w:rPr>
            </w:pPr>
            <w:bookmarkStart w:id="1" w:name="_Hlk213832613"/>
            <w:bookmarkStart w:id="2" w:name="_Hlk199316367"/>
            <w:r w:rsidRPr="00BB148B">
              <w:rPr>
                <w:rFonts w:ascii="Arial" w:hAnsi="Arial" w:cs="Arial"/>
                <w:b/>
                <w:bCs/>
                <w:color w:val="FF0000"/>
              </w:rPr>
              <w:t xml:space="preserve">REMINDER </w:t>
            </w:r>
            <w:r w:rsidR="00DE13D5">
              <w:rPr>
                <w:rFonts w:ascii="Arial" w:hAnsi="Arial" w:cs="Arial"/>
                <w:b/>
                <w:bCs/>
              </w:rPr>
              <w:t>–Charging</w:t>
            </w:r>
            <w:r w:rsidR="002875BF">
              <w:rPr>
                <w:rFonts w:ascii="Arial" w:hAnsi="Arial" w:cs="Arial"/>
                <w:b/>
                <w:bCs/>
              </w:rPr>
              <w:t xml:space="preserve"> and Artificial breaks </w:t>
            </w:r>
          </w:p>
          <w:p w14:paraId="5A3E6080" w14:textId="6DF41F2E" w:rsidR="002875BF" w:rsidRPr="002875BF" w:rsidRDefault="002875BF" w:rsidP="002875BF">
            <w:pPr>
              <w:pStyle w:val="ListParagraph"/>
              <w:numPr>
                <w:ilvl w:val="0"/>
                <w:numId w:val="2"/>
              </w:numPr>
              <w:spacing w:line="276" w:lineRule="auto"/>
              <w:rPr>
                <w:b/>
                <w:bCs/>
                <w:color w:val="000000" w:themeColor="text1"/>
              </w:rPr>
            </w:pPr>
            <w:r w:rsidRPr="002875BF">
              <w:rPr>
                <w:b/>
                <w:bCs/>
                <w:color w:val="000000" w:themeColor="text1"/>
              </w:rPr>
              <w:t>Ensure that children are able to take up their free hours in continuous blocks if they wish to, and there should be no artificial breaks in the entitlement hours. For example, over the lunch period, a provider should not offer 10am to 12pm and 1pm to 3pm as entitlement hours and offer only private paid hours in between.</w:t>
            </w:r>
          </w:p>
          <w:p w14:paraId="78511F72" w14:textId="7F7052FA" w:rsidR="00DE13D5" w:rsidRDefault="0000667A" w:rsidP="0023062A">
            <w:pPr>
              <w:pStyle w:val="ListParagraph"/>
              <w:numPr>
                <w:ilvl w:val="0"/>
                <w:numId w:val="2"/>
              </w:numPr>
              <w:spacing w:line="276" w:lineRule="auto"/>
              <w:ind w:left="567" w:hanging="283"/>
            </w:pPr>
            <w:r w:rsidRPr="00BB148B">
              <w:t xml:space="preserve">Please use the guidance </w:t>
            </w:r>
            <w:hyperlink r:id="rId7" w:history="1">
              <w:r w:rsidR="00DE13D5" w:rsidRPr="00DE13D5">
                <w:rPr>
                  <w:rFonts w:asciiTheme="minorHAnsi" w:hAnsiTheme="minorHAnsi" w:cstheme="minorBidi"/>
                  <w:color w:val="0000FF"/>
                  <w:u w:val="single"/>
                </w:rPr>
                <w:t>Early education and childcare - GOV.UK</w:t>
              </w:r>
            </w:hyperlink>
            <w:r w:rsidR="00DE13D5">
              <w:rPr>
                <w:rFonts w:asciiTheme="minorHAnsi" w:hAnsiTheme="minorHAnsi" w:cstheme="minorBidi"/>
              </w:rPr>
              <w:t xml:space="preserve"> </w:t>
            </w:r>
            <w:r w:rsidR="00DE13D5" w:rsidRPr="00E67AD0">
              <w:rPr>
                <w:rFonts w:asciiTheme="minorHAnsi" w:hAnsiTheme="minorHAnsi" w:cstheme="minorBidi"/>
                <w:b/>
                <w:bCs/>
              </w:rPr>
              <w:t>Charging and Transparency</w:t>
            </w:r>
            <w:r w:rsidR="00DE13D5">
              <w:rPr>
                <w:rFonts w:asciiTheme="minorHAnsi" w:hAnsiTheme="minorHAnsi" w:cstheme="minorBidi"/>
              </w:rPr>
              <w:t xml:space="preserve"> </w:t>
            </w:r>
            <w:r w:rsidRPr="00BB148B">
              <w:t>1.3</w:t>
            </w:r>
            <w:r w:rsidR="00DE13D5">
              <w:t>1</w:t>
            </w:r>
            <w:r w:rsidRPr="00BB148B">
              <w:t xml:space="preserve"> to </w:t>
            </w:r>
            <w:r w:rsidR="00DE13D5">
              <w:t xml:space="preserve">A1.44 </w:t>
            </w:r>
            <w:r w:rsidRPr="00BB148B">
              <w:t>ensure parents are aware of your charges</w:t>
            </w:r>
            <w:r w:rsidR="00E67AD0">
              <w:t>.</w:t>
            </w:r>
          </w:p>
          <w:p w14:paraId="20FA75BC" w14:textId="697ED927" w:rsidR="00C41E6E" w:rsidRPr="00BB148B" w:rsidRDefault="00DE13D5" w:rsidP="0023062A">
            <w:pPr>
              <w:pStyle w:val="ListParagraph"/>
              <w:numPr>
                <w:ilvl w:val="0"/>
                <w:numId w:val="2"/>
              </w:numPr>
              <w:spacing w:line="276" w:lineRule="auto"/>
              <w:ind w:left="567" w:hanging="283"/>
            </w:pPr>
            <w:r>
              <w:t>Make your offer clear for parents by using DfE Charging Template</w:t>
            </w:r>
            <w:r w:rsidR="00E67AD0">
              <w:t xml:space="preserve"> here </w:t>
            </w:r>
            <w:hyperlink r:id="rId8" w:history="1">
              <w:r w:rsidRPr="00DE13D5">
                <w:rPr>
                  <w:rFonts w:asciiTheme="minorHAnsi" w:hAnsiTheme="minorHAnsi" w:cstheme="minorBidi"/>
                  <w:color w:val="0000FF"/>
                  <w:u w:val="single"/>
                </w:rPr>
                <w:t>Chargeable_extras_template_2026.docx</w:t>
              </w:r>
            </w:hyperlink>
          </w:p>
        </w:tc>
      </w:tr>
      <w:bookmarkEnd w:id="1"/>
      <w:tr w:rsidR="00291304" w:rsidRPr="00BB148B" w14:paraId="0A514F0B" w14:textId="77777777" w:rsidTr="00B56BC8">
        <w:trPr>
          <w:trHeight w:val="1069"/>
        </w:trPr>
        <w:tc>
          <w:tcPr>
            <w:tcW w:w="10064" w:type="dxa"/>
          </w:tcPr>
          <w:p w14:paraId="04B2A43B" w14:textId="0EFBE636" w:rsidR="00516836" w:rsidRPr="00BB148B" w:rsidRDefault="00516836" w:rsidP="002B7A72">
            <w:pPr>
              <w:spacing w:line="276" w:lineRule="auto"/>
              <w:ind w:left="567" w:hanging="283"/>
              <w:rPr>
                <w:rFonts w:ascii="Arial" w:hAnsi="Arial" w:cs="Arial"/>
                <w:b/>
                <w:bCs/>
                <w:color w:val="FF0000"/>
              </w:rPr>
            </w:pPr>
            <w:r w:rsidRPr="00BB148B">
              <w:rPr>
                <w:rFonts w:ascii="Arial" w:hAnsi="Arial" w:cs="Arial"/>
                <w:b/>
                <w:bCs/>
                <w:color w:val="FF0000"/>
              </w:rPr>
              <w:lastRenderedPageBreak/>
              <w:t xml:space="preserve">REMINDER </w:t>
            </w:r>
            <w:r w:rsidRPr="00BB148B">
              <w:rPr>
                <w:rFonts w:ascii="Arial" w:hAnsi="Arial" w:cs="Arial"/>
                <w:b/>
                <w:bCs/>
              </w:rPr>
              <w:t>– Early Years Payments into Bank Accounts</w:t>
            </w:r>
          </w:p>
          <w:p w14:paraId="04674F13" w14:textId="77B23D76" w:rsidR="00AC5797" w:rsidRPr="00BB148B" w:rsidRDefault="0023561A" w:rsidP="0023062A">
            <w:pPr>
              <w:pStyle w:val="ListParagraph"/>
              <w:numPr>
                <w:ilvl w:val="0"/>
                <w:numId w:val="2"/>
              </w:numPr>
              <w:spacing w:line="276" w:lineRule="auto"/>
              <w:ind w:left="567" w:hanging="283"/>
              <w:rPr>
                <w:b/>
                <w:bCs/>
                <w:color w:val="FF0000"/>
              </w:rPr>
            </w:pPr>
            <w:r>
              <w:t>Academy and State Funded Governor run - p</w:t>
            </w:r>
            <w:r w:rsidR="00516836" w:rsidRPr="00BB148B">
              <w:t xml:space="preserve">lease contact </w:t>
            </w:r>
            <w:hyperlink r:id="rId9" w:tgtFrame="_blank" w:tooltip="mailto:eyft@northyorks.gov.uk" w:history="1">
              <w:r w:rsidR="00516836" w:rsidRPr="00BA5518">
                <w:rPr>
                  <w:rStyle w:val="Hyperlink"/>
                  <w:color w:val="0000FF"/>
                </w:rPr>
                <w:t>eyft@northyorks.gov.uk</w:t>
              </w:r>
            </w:hyperlink>
            <w:r w:rsidR="00516836" w:rsidRPr="00BB148B">
              <w:t xml:space="preserve"> if you are contacted by your bank about fraudulent activity on the bank account that your early years funding is paid into</w:t>
            </w:r>
            <w:r w:rsidR="00712B3D" w:rsidRPr="00BB148B">
              <w:t>.</w:t>
            </w:r>
          </w:p>
        </w:tc>
      </w:tr>
      <w:tr w:rsidR="00712B3D" w:rsidRPr="00BB148B" w14:paraId="122ABF74" w14:textId="77777777" w:rsidTr="00B56BC8">
        <w:trPr>
          <w:trHeight w:val="1069"/>
        </w:trPr>
        <w:tc>
          <w:tcPr>
            <w:tcW w:w="10064" w:type="dxa"/>
          </w:tcPr>
          <w:p w14:paraId="16746B05" w14:textId="77777777" w:rsidR="00712B3D" w:rsidRPr="00BB148B" w:rsidRDefault="00712B3D" w:rsidP="002B7A72">
            <w:pPr>
              <w:spacing w:line="276" w:lineRule="auto"/>
              <w:ind w:left="426" w:hanging="142"/>
              <w:rPr>
                <w:rFonts w:ascii="Arial" w:hAnsi="Arial" w:cs="Arial"/>
                <w:b/>
                <w:bCs/>
              </w:rPr>
            </w:pPr>
            <w:r w:rsidRPr="00BB148B">
              <w:rPr>
                <w:rFonts w:ascii="Arial" w:hAnsi="Arial" w:cs="Arial"/>
                <w:b/>
                <w:bCs/>
                <w:color w:val="FF0000"/>
              </w:rPr>
              <w:t xml:space="preserve">UPDATE </w:t>
            </w:r>
            <w:r w:rsidRPr="00BB148B">
              <w:rPr>
                <w:rFonts w:ascii="Arial" w:hAnsi="Arial" w:cs="Arial"/>
                <w:b/>
                <w:bCs/>
              </w:rPr>
              <w:t>– New Guidance Available on Website</w:t>
            </w:r>
          </w:p>
          <w:p w14:paraId="1401E6E9" w14:textId="11DC7EDE" w:rsidR="00BB148B" w:rsidRPr="00BB148B" w:rsidRDefault="00712B3D" w:rsidP="0023062A">
            <w:pPr>
              <w:pStyle w:val="ListParagraph"/>
              <w:numPr>
                <w:ilvl w:val="0"/>
                <w:numId w:val="3"/>
              </w:numPr>
              <w:spacing w:line="276" w:lineRule="auto"/>
              <w:ind w:left="567" w:hanging="283"/>
              <w:rPr>
                <w:rStyle w:val="Hyperlink"/>
                <w:b/>
                <w:bCs/>
                <w:color w:val="FF0000"/>
                <w:u w:val="none"/>
              </w:rPr>
            </w:pPr>
            <w:r w:rsidRPr="00BB148B">
              <w:t xml:space="preserve">The following guidance has been updated </w:t>
            </w:r>
            <w:r w:rsidR="00BA5518">
              <w:t xml:space="preserve">and is </w:t>
            </w:r>
            <w:r w:rsidRPr="00BB148B">
              <w:t xml:space="preserve">available here </w:t>
            </w:r>
            <w:hyperlink r:id="rId10" w:history="1">
              <w:r w:rsidRPr="00BA5518">
                <w:rPr>
                  <w:rStyle w:val="Hyperlink"/>
                  <w:color w:val="0000FF"/>
                </w:rPr>
                <w:t>Early Years Funding | CYPSinfo</w:t>
              </w:r>
            </w:hyperlink>
            <w:r w:rsidR="00EC3208" w:rsidRPr="00BA5518">
              <w:rPr>
                <w:rStyle w:val="Hyperlink"/>
                <w:color w:val="0000FF"/>
              </w:rPr>
              <w:t xml:space="preserve"> </w:t>
            </w:r>
            <w:r w:rsidR="00BB148B" w:rsidRPr="00BB148B">
              <w:rPr>
                <w:rStyle w:val="Hyperlink"/>
                <w:color w:val="auto"/>
              </w:rPr>
              <w:t xml:space="preserve"> </w:t>
            </w:r>
          </w:p>
          <w:p w14:paraId="15F59117" w14:textId="67A14966" w:rsidR="002875BF" w:rsidRDefault="002875BF" w:rsidP="00BA5518">
            <w:pPr>
              <w:pStyle w:val="ListParagraph"/>
              <w:numPr>
                <w:ilvl w:val="0"/>
                <w:numId w:val="0"/>
              </w:numPr>
              <w:spacing w:line="276" w:lineRule="auto"/>
              <w:ind w:left="720"/>
            </w:pPr>
            <w:hyperlink r:id="rId11" w:history="1">
              <w:r w:rsidRPr="002875BF">
                <w:rPr>
                  <w:rFonts w:asciiTheme="minorHAnsi" w:hAnsiTheme="minorHAnsi" w:cstheme="minorBidi"/>
                  <w:color w:val="0000FF"/>
                  <w:u w:val="single"/>
                </w:rPr>
                <w:t>Provider Timetable - Summer 2026.pdf</w:t>
              </w:r>
            </w:hyperlink>
          </w:p>
          <w:p w14:paraId="2C57F6CA" w14:textId="6785E02A" w:rsidR="00BB148B" w:rsidRPr="005F5B7B" w:rsidRDefault="00712B3D" w:rsidP="00BA5518">
            <w:pPr>
              <w:pStyle w:val="ListParagraph"/>
              <w:numPr>
                <w:ilvl w:val="0"/>
                <w:numId w:val="0"/>
              </w:numPr>
              <w:spacing w:line="276" w:lineRule="auto"/>
              <w:ind w:left="720"/>
              <w:rPr>
                <w:rStyle w:val="Hyperlink"/>
                <w:color w:val="0000FF"/>
              </w:rPr>
            </w:pPr>
            <w:hyperlink r:id="rId12" w:history="1">
              <w:r w:rsidRPr="005F5B7B">
                <w:rPr>
                  <w:rStyle w:val="Hyperlink"/>
                  <w:color w:val="0000FF"/>
                </w:rPr>
                <w:t>Useful dates 2026-2027.pdf</w:t>
              </w:r>
            </w:hyperlink>
            <w:r w:rsidR="00BB148B" w:rsidRPr="005F5B7B">
              <w:rPr>
                <w:rStyle w:val="Hyperlink"/>
                <w:color w:val="0000FF"/>
              </w:rPr>
              <w:t xml:space="preserve"> </w:t>
            </w:r>
          </w:p>
          <w:p w14:paraId="7223EE9D" w14:textId="77777777" w:rsidR="00712B3D" w:rsidRDefault="00BB148B" w:rsidP="00BA5518">
            <w:pPr>
              <w:pStyle w:val="ListParagraph"/>
              <w:numPr>
                <w:ilvl w:val="0"/>
                <w:numId w:val="0"/>
              </w:numPr>
              <w:spacing w:line="276" w:lineRule="auto"/>
              <w:ind w:left="720"/>
            </w:pPr>
            <w:hyperlink r:id="rId13" w:history="1">
              <w:r w:rsidRPr="005F5B7B">
                <w:rPr>
                  <w:rStyle w:val="Hyperlink"/>
                  <w:color w:val="0000FF"/>
                </w:rPr>
                <w:t>Early Years Funding Rates 2026-27.pdf</w:t>
              </w:r>
            </w:hyperlink>
          </w:p>
          <w:p w14:paraId="3C0E7852" w14:textId="20E5D638" w:rsidR="002875BF" w:rsidRPr="00BB148B" w:rsidRDefault="002875BF" w:rsidP="00BA5518">
            <w:pPr>
              <w:pStyle w:val="ListParagraph"/>
              <w:numPr>
                <w:ilvl w:val="0"/>
                <w:numId w:val="0"/>
              </w:numPr>
              <w:spacing w:line="276" w:lineRule="auto"/>
              <w:ind w:left="720"/>
              <w:rPr>
                <w:b/>
                <w:bCs/>
                <w:color w:val="FF0000"/>
              </w:rPr>
            </w:pPr>
          </w:p>
        </w:tc>
      </w:tr>
      <w:bookmarkEnd w:id="0"/>
      <w:bookmarkEnd w:id="2"/>
    </w:tbl>
    <w:p w14:paraId="5B4C1B9A" w14:textId="11781FA7" w:rsidR="00C07561" w:rsidRPr="00BB148B" w:rsidRDefault="00C07561" w:rsidP="009F7C96">
      <w:pPr>
        <w:rPr>
          <w:rFonts w:ascii="Arial" w:hAnsi="Arial" w:cs="Arial"/>
        </w:rPr>
      </w:pPr>
    </w:p>
    <w:sectPr w:rsidR="00C07561" w:rsidRPr="00BB148B" w:rsidSect="00433267">
      <w:footerReference w:type="even" r:id="rId14"/>
      <w:footerReference w:type="defaul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7693" w14:textId="77777777" w:rsidR="00050BBE" w:rsidRDefault="00050BBE" w:rsidP="00C07561">
      <w:pPr>
        <w:spacing w:after="0" w:line="240" w:lineRule="auto"/>
      </w:pPr>
      <w:r>
        <w:separator/>
      </w:r>
    </w:p>
  </w:endnote>
  <w:endnote w:type="continuationSeparator" w:id="0">
    <w:p w14:paraId="4CF0A48E" w14:textId="77777777" w:rsidR="00050BBE" w:rsidRDefault="00050BBE" w:rsidP="00C0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ACEF" w14:textId="0C0D05AF" w:rsidR="00C07561" w:rsidRDefault="00C07561">
    <w:pPr>
      <w:pStyle w:val="Footer"/>
    </w:pPr>
    <w:r>
      <w:rPr>
        <w:noProof/>
      </w:rPr>
      <mc:AlternateContent>
        <mc:Choice Requires="wps">
          <w:drawing>
            <wp:anchor distT="0" distB="0" distL="0" distR="0" simplePos="0" relativeHeight="251659264" behindDoc="0" locked="0" layoutInCell="1" allowOverlap="1" wp14:anchorId="6A9FC072" wp14:editId="42B1B584">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072057" w14:textId="46709E1E" w:rsidR="00C07561" w:rsidRPr="00C07561" w:rsidRDefault="00C07561" w:rsidP="00C07561">
                          <w:pPr>
                            <w:spacing w:after="0"/>
                            <w:rPr>
                              <w:rFonts w:ascii="Calibri" w:eastAsia="Calibri" w:hAnsi="Calibri" w:cs="Calibri"/>
                              <w:noProof/>
                              <w:color w:val="FF0000"/>
                              <w:sz w:val="20"/>
                              <w:szCs w:val="20"/>
                            </w:rPr>
                          </w:pPr>
                          <w:r w:rsidRPr="00C0756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FC07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2072057" w14:textId="46709E1E" w:rsidR="00C07561" w:rsidRPr="00C07561" w:rsidRDefault="00C07561" w:rsidP="00C07561">
                    <w:pPr>
                      <w:spacing w:after="0"/>
                      <w:rPr>
                        <w:rFonts w:ascii="Calibri" w:eastAsia="Calibri" w:hAnsi="Calibri" w:cs="Calibri"/>
                        <w:noProof/>
                        <w:color w:val="FF0000"/>
                        <w:sz w:val="20"/>
                        <w:szCs w:val="20"/>
                      </w:rPr>
                    </w:pPr>
                    <w:r w:rsidRPr="00C07561">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6CF" w14:textId="681402ED" w:rsidR="00C07561" w:rsidRDefault="00C07561">
    <w:pPr>
      <w:pStyle w:val="Footer"/>
    </w:pPr>
    <w:r>
      <w:rPr>
        <w:noProof/>
      </w:rPr>
      <mc:AlternateContent>
        <mc:Choice Requires="wps">
          <w:drawing>
            <wp:anchor distT="0" distB="0" distL="0" distR="0" simplePos="0" relativeHeight="251660288" behindDoc="0" locked="0" layoutInCell="1" allowOverlap="1" wp14:anchorId="62C12CFD" wp14:editId="63B208E3">
              <wp:simplePos x="914400" y="1007364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3A3C44" w14:textId="2D26D053" w:rsidR="00C07561" w:rsidRPr="00C07561" w:rsidRDefault="00C07561" w:rsidP="00C07561">
                          <w:pPr>
                            <w:spacing w:after="0"/>
                            <w:rPr>
                              <w:rFonts w:ascii="Calibri" w:eastAsia="Calibri" w:hAnsi="Calibri" w:cs="Calibri"/>
                              <w:noProof/>
                              <w:color w:val="FF0000"/>
                              <w:sz w:val="20"/>
                              <w:szCs w:val="20"/>
                            </w:rPr>
                          </w:pPr>
                          <w:r w:rsidRPr="00C0756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12CF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83A3C44" w14:textId="2D26D053" w:rsidR="00C07561" w:rsidRPr="00C07561" w:rsidRDefault="00C07561" w:rsidP="00C07561">
                    <w:pPr>
                      <w:spacing w:after="0"/>
                      <w:rPr>
                        <w:rFonts w:ascii="Calibri" w:eastAsia="Calibri" w:hAnsi="Calibri" w:cs="Calibri"/>
                        <w:noProof/>
                        <w:color w:val="FF0000"/>
                        <w:sz w:val="20"/>
                        <w:szCs w:val="20"/>
                      </w:rPr>
                    </w:pPr>
                    <w:r w:rsidRPr="00C0756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1944" w14:textId="71596A9F" w:rsidR="00C07561" w:rsidRDefault="00C07561">
    <w:pPr>
      <w:pStyle w:val="Footer"/>
    </w:pPr>
    <w:r>
      <w:rPr>
        <w:noProof/>
      </w:rPr>
      <mc:AlternateContent>
        <mc:Choice Requires="wps">
          <w:drawing>
            <wp:anchor distT="0" distB="0" distL="0" distR="0" simplePos="0" relativeHeight="251658240" behindDoc="0" locked="0" layoutInCell="1" allowOverlap="1" wp14:anchorId="0E5C3AFE" wp14:editId="67B356BB">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E8251" w14:textId="13CA68B8" w:rsidR="00C07561" w:rsidRPr="00C07561" w:rsidRDefault="00C07561" w:rsidP="00C07561">
                          <w:pPr>
                            <w:spacing w:after="0"/>
                            <w:rPr>
                              <w:rFonts w:ascii="Calibri" w:eastAsia="Calibri" w:hAnsi="Calibri" w:cs="Calibri"/>
                              <w:noProof/>
                              <w:color w:val="FF0000"/>
                              <w:sz w:val="20"/>
                              <w:szCs w:val="20"/>
                            </w:rPr>
                          </w:pPr>
                          <w:r w:rsidRPr="00C0756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C3AFE"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AE8251" w14:textId="13CA68B8" w:rsidR="00C07561" w:rsidRPr="00C07561" w:rsidRDefault="00C07561" w:rsidP="00C07561">
                    <w:pPr>
                      <w:spacing w:after="0"/>
                      <w:rPr>
                        <w:rFonts w:ascii="Calibri" w:eastAsia="Calibri" w:hAnsi="Calibri" w:cs="Calibri"/>
                        <w:noProof/>
                        <w:color w:val="FF0000"/>
                        <w:sz w:val="20"/>
                        <w:szCs w:val="20"/>
                      </w:rPr>
                    </w:pPr>
                    <w:r w:rsidRPr="00C07561">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6F75" w14:textId="77777777" w:rsidR="00050BBE" w:rsidRDefault="00050BBE" w:rsidP="00C07561">
      <w:pPr>
        <w:spacing w:after="0" w:line="240" w:lineRule="auto"/>
      </w:pPr>
      <w:r>
        <w:separator/>
      </w:r>
    </w:p>
  </w:footnote>
  <w:footnote w:type="continuationSeparator" w:id="0">
    <w:p w14:paraId="4260F556" w14:textId="77777777" w:rsidR="00050BBE" w:rsidRDefault="00050BBE" w:rsidP="00C07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82E"/>
    <w:multiLevelType w:val="multilevel"/>
    <w:tmpl w:val="5BEA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95C76"/>
    <w:multiLevelType w:val="hybridMultilevel"/>
    <w:tmpl w:val="AEC8B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7F62E9"/>
    <w:multiLevelType w:val="hybridMultilevel"/>
    <w:tmpl w:val="B24EF3F6"/>
    <w:lvl w:ilvl="0" w:tplc="0809000B">
      <w:start w:val="1"/>
      <w:numFmt w:val="bullet"/>
      <w:lvlText w:val=""/>
      <w:lvlJc w:val="left"/>
      <w:pPr>
        <w:ind w:left="644" w:hanging="360"/>
      </w:pPr>
      <w:rPr>
        <w:rFonts w:ascii="Wingdings" w:hAnsi="Wingdings"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506272EC"/>
    <w:multiLevelType w:val="hybridMultilevel"/>
    <w:tmpl w:val="D752E2F2"/>
    <w:lvl w:ilvl="0" w:tplc="0478CA68">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7A1B41AB"/>
    <w:multiLevelType w:val="multilevel"/>
    <w:tmpl w:val="DD56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D3559"/>
    <w:multiLevelType w:val="hybridMultilevel"/>
    <w:tmpl w:val="1C509880"/>
    <w:lvl w:ilvl="0" w:tplc="0809000B">
      <w:start w:val="1"/>
      <w:numFmt w:val="bullet"/>
      <w:lvlText w:val=""/>
      <w:lvlJc w:val="left"/>
      <w:pPr>
        <w:ind w:left="1002" w:hanging="360"/>
      </w:pPr>
      <w:rPr>
        <w:rFonts w:ascii="Wingdings" w:hAnsi="Wingdings" w:hint="default"/>
        <w:color w:val="auto"/>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1016923561">
    <w:abstractNumId w:val="3"/>
  </w:num>
  <w:num w:numId="2" w16cid:durableId="1557928980">
    <w:abstractNumId w:val="2"/>
  </w:num>
  <w:num w:numId="3" w16cid:durableId="1035042283">
    <w:abstractNumId w:val="5"/>
  </w:num>
  <w:num w:numId="4" w16cid:durableId="1862544446">
    <w:abstractNumId w:val="0"/>
  </w:num>
  <w:num w:numId="5" w16cid:durableId="1464729955">
    <w:abstractNumId w:val="4"/>
  </w:num>
  <w:num w:numId="6" w16cid:durableId="10784831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61"/>
    <w:rsid w:val="0000566C"/>
    <w:rsid w:val="0000667A"/>
    <w:rsid w:val="00006C4A"/>
    <w:rsid w:val="00026CC2"/>
    <w:rsid w:val="000333E2"/>
    <w:rsid w:val="000348CA"/>
    <w:rsid w:val="00034FCB"/>
    <w:rsid w:val="00042E87"/>
    <w:rsid w:val="00043640"/>
    <w:rsid w:val="000447F5"/>
    <w:rsid w:val="00050BBE"/>
    <w:rsid w:val="00062D24"/>
    <w:rsid w:val="00076E64"/>
    <w:rsid w:val="000841FD"/>
    <w:rsid w:val="000915B3"/>
    <w:rsid w:val="00096082"/>
    <w:rsid w:val="000A5EA4"/>
    <w:rsid w:val="000B0094"/>
    <w:rsid w:val="000B0FFF"/>
    <w:rsid w:val="000C00C1"/>
    <w:rsid w:val="000C0B91"/>
    <w:rsid w:val="000C3C4C"/>
    <w:rsid w:val="000D41B6"/>
    <w:rsid w:val="000E0174"/>
    <w:rsid w:val="000E53B7"/>
    <w:rsid w:val="000F0BD1"/>
    <w:rsid w:val="000F5A5A"/>
    <w:rsid w:val="000F67AF"/>
    <w:rsid w:val="0011775D"/>
    <w:rsid w:val="001213D1"/>
    <w:rsid w:val="001429D6"/>
    <w:rsid w:val="0014366F"/>
    <w:rsid w:val="00150EC6"/>
    <w:rsid w:val="00152BC9"/>
    <w:rsid w:val="00177DDA"/>
    <w:rsid w:val="00185AA1"/>
    <w:rsid w:val="001864AC"/>
    <w:rsid w:val="001A3B57"/>
    <w:rsid w:val="001A48ED"/>
    <w:rsid w:val="001A6543"/>
    <w:rsid w:val="001C056D"/>
    <w:rsid w:val="001C092E"/>
    <w:rsid w:val="001C742A"/>
    <w:rsid w:val="001D31ED"/>
    <w:rsid w:val="001E5195"/>
    <w:rsid w:val="001E53F8"/>
    <w:rsid w:val="001F26D3"/>
    <w:rsid w:val="001F7AA3"/>
    <w:rsid w:val="00200FD3"/>
    <w:rsid w:val="002049F3"/>
    <w:rsid w:val="00205F6D"/>
    <w:rsid w:val="00207BCD"/>
    <w:rsid w:val="00215BCD"/>
    <w:rsid w:val="00222329"/>
    <w:rsid w:val="0022535B"/>
    <w:rsid w:val="00227CE6"/>
    <w:rsid w:val="0023062A"/>
    <w:rsid w:val="0023561A"/>
    <w:rsid w:val="00236E16"/>
    <w:rsid w:val="0023782D"/>
    <w:rsid w:val="00246988"/>
    <w:rsid w:val="00250E17"/>
    <w:rsid w:val="00263E4C"/>
    <w:rsid w:val="00267827"/>
    <w:rsid w:val="002738BA"/>
    <w:rsid w:val="00276E5B"/>
    <w:rsid w:val="00284426"/>
    <w:rsid w:val="002857E6"/>
    <w:rsid w:val="002875BF"/>
    <w:rsid w:val="00291304"/>
    <w:rsid w:val="002A5EBA"/>
    <w:rsid w:val="002B353E"/>
    <w:rsid w:val="002B460F"/>
    <w:rsid w:val="002B5033"/>
    <w:rsid w:val="002B7A72"/>
    <w:rsid w:val="002C3FB6"/>
    <w:rsid w:val="002C571F"/>
    <w:rsid w:val="002C78F4"/>
    <w:rsid w:val="002D1825"/>
    <w:rsid w:val="002E1F6E"/>
    <w:rsid w:val="002E424B"/>
    <w:rsid w:val="002F5652"/>
    <w:rsid w:val="002F7D2B"/>
    <w:rsid w:val="00301F6F"/>
    <w:rsid w:val="00305A93"/>
    <w:rsid w:val="00311484"/>
    <w:rsid w:val="00315EDC"/>
    <w:rsid w:val="00317824"/>
    <w:rsid w:val="0033039C"/>
    <w:rsid w:val="00342DB7"/>
    <w:rsid w:val="00345AA8"/>
    <w:rsid w:val="00345B15"/>
    <w:rsid w:val="003505F6"/>
    <w:rsid w:val="0035446F"/>
    <w:rsid w:val="0035511B"/>
    <w:rsid w:val="00366D9A"/>
    <w:rsid w:val="00376B60"/>
    <w:rsid w:val="00383823"/>
    <w:rsid w:val="00386190"/>
    <w:rsid w:val="003A415C"/>
    <w:rsid w:val="003A5A70"/>
    <w:rsid w:val="003A6909"/>
    <w:rsid w:val="003A6B57"/>
    <w:rsid w:val="003B658E"/>
    <w:rsid w:val="003B7405"/>
    <w:rsid w:val="003C510B"/>
    <w:rsid w:val="003C6F0E"/>
    <w:rsid w:val="003E1190"/>
    <w:rsid w:val="003E7B48"/>
    <w:rsid w:val="003F0F32"/>
    <w:rsid w:val="003F2D95"/>
    <w:rsid w:val="003F72E0"/>
    <w:rsid w:val="004200F9"/>
    <w:rsid w:val="00424610"/>
    <w:rsid w:val="00433267"/>
    <w:rsid w:val="004401F0"/>
    <w:rsid w:val="00450593"/>
    <w:rsid w:val="00452D9F"/>
    <w:rsid w:val="00454357"/>
    <w:rsid w:val="00482026"/>
    <w:rsid w:val="004866FD"/>
    <w:rsid w:val="00493478"/>
    <w:rsid w:val="0049434E"/>
    <w:rsid w:val="0049676B"/>
    <w:rsid w:val="004A20BA"/>
    <w:rsid w:val="004B1465"/>
    <w:rsid w:val="004B41E7"/>
    <w:rsid w:val="004B4ACC"/>
    <w:rsid w:val="004B6DD7"/>
    <w:rsid w:val="004B7B28"/>
    <w:rsid w:val="004C2FF9"/>
    <w:rsid w:val="004D1374"/>
    <w:rsid w:val="004D28A2"/>
    <w:rsid w:val="004D67CF"/>
    <w:rsid w:val="00505161"/>
    <w:rsid w:val="0051021D"/>
    <w:rsid w:val="00511A7B"/>
    <w:rsid w:val="00516836"/>
    <w:rsid w:val="0053063F"/>
    <w:rsid w:val="00533AF8"/>
    <w:rsid w:val="00533CAD"/>
    <w:rsid w:val="00545BFB"/>
    <w:rsid w:val="00546BBF"/>
    <w:rsid w:val="00566FE4"/>
    <w:rsid w:val="0057074C"/>
    <w:rsid w:val="00581870"/>
    <w:rsid w:val="00597D66"/>
    <w:rsid w:val="005B0AD1"/>
    <w:rsid w:val="005B0E77"/>
    <w:rsid w:val="005B32E3"/>
    <w:rsid w:val="005B416D"/>
    <w:rsid w:val="005B6A01"/>
    <w:rsid w:val="005C1837"/>
    <w:rsid w:val="005D2042"/>
    <w:rsid w:val="005D20F9"/>
    <w:rsid w:val="005D627D"/>
    <w:rsid w:val="005D72DD"/>
    <w:rsid w:val="005E1536"/>
    <w:rsid w:val="005F5B7B"/>
    <w:rsid w:val="005F7EF8"/>
    <w:rsid w:val="00621F42"/>
    <w:rsid w:val="00625B01"/>
    <w:rsid w:val="00632298"/>
    <w:rsid w:val="006322C3"/>
    <w:rsid w:val="00632471"/>
    <w:rsid w:val="006547E6"/>
    <w:rsid w:val="00657746"/>
    <w:rsid w:val="006664E9"/>
    <w:rsid w:val="00676B5E"/>
    <w:rsid w:val="006834B3"/>
    <w:rsid w:val="00694F6F"/>
    <w:rsid w:val="006B0B0F"/>
    <w:rsid w:val="006B6230"/>
    <w:rsid w:val="006C3DB0"/>
    <w:rsid w:val="006E5488"/>
    <w:rsid w:val="006F60D2"/>
    <w:rsid w:val="00712B3D"/>
    <w:rsid w:val="00724DB1"/>
    <w:rsid w:val="00732DE2"/>
    <w:rsid w:val="007362AD"/>
    <w:rsid w:val="007600C5"/>
    <w:rsid w:val="00760D31"/>
    <w:rsid w:val="007710EF"/>
    <w:rsid w:val="00771CC4"/>
    <w:rsid w:val="007732A8"/>
    <w:rsid w:val="00785AB1"/>
    <w:rsid w:val="00792AC7"/>
    <w:rsid w:val="00795496"/>
    <w:rsid w:val="007A4A33"/>
    <w:rsid w:val="007A58C3"/>
    <w:rsid w:val="007A77CC"/>
    <w:rsid w:val="007B1A8B"/>
    <w:rsid w:val="007B617B"/>
    <w:rsid w:val="007D35F9"/>
    <w:rsid w:val="007D477E"/>
    <w:rsid w:val="007F6BF0"/>
    <w:rsid w:val="008005D9"/>
    <w:rsid w:val="00801BC8"/>
    <w:rsid w:val="008047B8"/>
    <w:rsid w:val="00805667"/>
    <w:rsid w:val="00806008"/>
    <w:rsid w:val="00821FF2"/>
    <w:rsid w:val="00830036"/>
    <w:rsid w:val="008379CB"/>
    <w:rsid w:val="00842FA0"/>
    <w:rsid w:val="0085003D"/>
    <w:rsid w:val="00853DBD"/>
    <w:rsid w:val="008624DD"/>
    <w:rsid w:val="00864407"/>
    <w:rsid w:val="00867FBF"/>
    <w:rsid w:val="008809E4"/>
    <w:rsid w:val="008A504C"/>
    <w:rsid w:val="008B4DE7"/>
    <w:rsid w:val="008C626B"/>
    <w:rsid w:val="008D4883"/>
    <w:rsid w:val="00903B60"/>
    <w:rsid w:val="00911864"/>
    <w:rsid w:val="00917FC8"/>
    <w:rsid w:val="00924DF1"/>
    <w:rsid w:val="0093797E"/>
    <w:rsid w:val="00942F0A"/>
    <w:rsid w:val="009509C6"/>
    <w:rsid w:val="00951F60"/>
    <w:rsid w:val="00953A4F"/>
    <w:rsid w:val="00955AF4"/>
    <w:rsid w:val="00956FC1"/>
    <w:rsid w:val="00957CE2"/>
    <w:rsid w:val="00961325"/>
    <w:rsid w:val="00963B29"/>
    <w:rsid w:val="009675D9"/>
    <w:rsid w:val="00972949"/>
    <w:rsid w:val="009766B1"/>
    <w:rsid w:val="00980B7C"/>
    <w:rsid w:val="00985994"/>
    <w:rsid w:val="009A0179"/>
    <w:rsid w:val="009E2DD7"/>
    <w:rsid w:val="009E7016"/>
    <w:rsid w:val="009F317C"/>
    <w:rsid w:val="009F6602"/>
    <w:rsid w:val="009F7C27"/>
    <w:rsid w:val="009F7C96"/>
    <w:rsid w:val="00A00A0B"/>
    <w:rsid w:val="00A02BF5"/>
    <w:rsid w:val="00A10663"/>
    <w:rsid w:val="00A140DF"/>
    <w:rsid w:val="00A30D49"/>
    <w:rsid w:val="00A32CF2"/>
    <w:rsid w:val="00A339FB"/>
    <w:rsid w:val="00A77BB5"/>
    <w:rsid w:val="00A831B0"/>
    <w:rsid w:val="00A934C7"/>
    <w:rsid w:val="00A975A8"/>
    <w:rsid w:val="00AC44F5"/>
    <w:rsid w:val="00AC5797"/>
    <w:rsid w:val="00AD4455"/>
    <w:rsid w:val="00AE08B5"/>
    <w:rsid w:val="00AF14EC"/>
    <w:rsid w:val="00B15EA7"/>
    <w:rsid w:val="00B17BAE"/>
    <w:rsid w:val="00B222E1"/>
    <w:rsid w:val="00B241D6"/>
    <w:rsid w:val="00B30DF5"/>
    <w:rsid w:val="00B33CF2"/>
    <w:rsid w:val="00B36788"/>
    <w:rsid w:val="00B51A76"/>
    <w:rsid w:val="00B56BC8"/>
    <w:rsid w:val="00B60BA2"/>
    <w:rsid w:val="00B67706"/>
    <w:rsid w:val="00B75182"/>
    <w:rsid w:val="00B828F9"/>
    <w:rsid w:val="00B94745"/>
    <w:rsid w:val="00B968DF"/>
    <w:rsid w:val="00BA1D74"/>
    <w:rsid w:val="00BA5518"/>
    <w:rsid w:val="00BA7D13"/>
    <w:rsid w:val="00BB148B"/>
    <w:rsid w:val="00BB2229"/>
    <w:rsid w:val="00BB47B7"/>
    <w:rsid w:val="00BB76F9"/>
    <w:rsid w:val="00BC1688"/>
    <w:rsid w:val="00BD56F5"/>
    <w:rsid w:val="00BD71FF"/>
    <w:rsid w:val="00BE247A"/>
    <w:rsid w:val="00C00402"/>
    <w:rsid w:val="00C07561"/>
    <w:rsid w:val="00C1568F"/>
    <w:rsid w:val="00C2396F"/>
    <w:rsid w:val="00C23DCA"/>
    <w:rsid w:val="00C250D1"/>
    <w:rsid w:val="00C32DEC"/>
    <w:rsid w:val="00C3317B"/>
    <w:rsid w:val="00C377DC"/>
    <w:rsid w:val="00C40221"/>
    <w:rsid w:val="00C41E6E"/>
    <w:rsid w:val="00C42230"/>
    <w:rsid w:val="00C4353D"/>
    <w:rsid w:val="00C4353F"/>
    <w:rsid w:val="00C45125"/>
    <w:rsid w:val="00C56506"/>
    <w:rsid w:val="00C608A9"/>
    <w:rsid w:val="00C731FD"/>
    <w:rsid w:val="00C806AB"/>
    <w:rsid w:val="00CA6A05"/>
    <w:rsid w:val="00CC17DC"/>
    <w:rsid w:val="00CC18FF"/>
    <w:rsid w:val="00CE4ECF"/>
    <w:rsid w:val="00CE64E6"/>
    <w:rsid w:val="00CF0D97"/>
    <w:rsid w:val="00D00225"/>
    <w:rsid w:val="00D0041A"/>
    <w:rsid w:val="00D2498F"/>
    <w:rsid w:val="00D533E1"/>
    <w:rsid w:val="00D554A1"/>
    <w:rsid w:val="00D81842"/>
    <w:rsid w:val="00D834ED"/>
    <w:rsid w:val="00D84EEB"/>
    <w:rsid w:val="00D85842"/>
    <w:rsid w:val="00D90803"/>
    <w:rsid w:val="00DA2EA2"/>
    <w:rsid w:val="00DA5551"/>
    <w:rsid w:val="00DC18D8"/>
    <w:rsid w:val="00DC5433"/>
    <w:rsid w:val="00DC68DA"/>
    <w:rsid w:val="00DD2558"/>
    <w:rsid w:val="00DE02FB"/>
    <w:rsid w:val="00DE13D5"/>
    <w:rsid w:val="00DF745E"/>
    <w:rsid w:val="00E026C6"/>
    <w:rsid w:val="00E03A73"/>
    <w:rsid w:val="00E10C7A"/>
    <w:rsid w:val="00E15C9C"/>
    <w:rsid w:val="00E40C51"/>
    <w:rsid w:val="00E410B4"/>
    <w:rsid w:val="00E41B5C"/>
    <w:rsid w:val="00E546E1"/>
    <w:rsid w:val="00E552B2"/>
    <w:rsid w:val="00E60986"/>
    <w:rsid w:val="00E65847"/>
    <w:rsid w:val="00E65F42"/>
    <w:rsid w:val="00E67AD0"/>
    <w:rsid w:val="00E71B04"/>
    <w:rsid w:val="00E71CFB"/>
    <w:rsid w:val="00E72386"/>
    <w:rsid w:val="00E937DB"/>
    <w:rsid w:val="00EA02CC"/>
    <w:rsid w:val="00EA4DAB"/>
    <w:rsid w:val="00EB2907"/>
    <w:rsid w:val="00EB729C"/>
    <w:rsid w:val="00EC3208"/>
    <w:rsid w:val="00EC768C"/>
    <w:rsid w:val="00EC7B55"/>
    <w:rsid w:val="00ED06F6"/>
    <w:rsid w:val="00ED4518"/>
    <w:rsid w:val="00EE1D2D"/>
    <w:rsid w:val="00EF2C39"/>
    <w:rsid w:val="00EF5400"/>
    <w:rsid w:val="00F13FA4"/>
    <w:rsid w:val="00F20BBB"/>
    <w:rsid w:val="00F37BD4"/>
    <w:rsid w:val="00F43964"/>
    <w:rsid w:val="00F61F4F"/>
    <w:rsid w:val="00F71CF2"/>
    <w:rsid w:val="00F81235"/>
    <w:rsid w:val="00F86CF8"/>
    <w:rsid w:val="00F935FD"/>
    <w:rsid w:val="00F94AD6"/>
    <w:rsid w:val="00F97290"/>
    <w:rsid w:val="00FA126B"/>
    <w:rsid w:val="00FA43EC"/>
    <w:rsid w:val="00FA661E"/>
    <w:rsid w:val="00FE24F0"/>
    <w:rsid w:val="00FE2EE1"/>
    <w:rsid w:val="00FE50DE"/>
    <w:rsid w:val="00FF3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C2D5"/>
  <w15:chartTrackingRefBased/>
  <w15:docId w15:val="{00C1872F-5E3A-46EE-8605-24AC7401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561"/>
    <w:rPr>
      <w:color w:val="0563C1"/>
      <w:u w:val="single"/>
    </w:rPr>
  </w:style>
  <w:style w:type="character" w:customStyle="1" w:styleId="ListParagraphChar">
    <w:name w:val="List Paragraph Char"/>
    <w:basedOn w:val="DefaultParagraphFont"/>
    <w:link w:val="ListParagraph"/>
    <w:uiPriority w:val="34"/>
    <w:locked/>
    <w:rsid w:val="00C07561"/>
    <w:rPr>
      <w:rFonts w:ascii="Arial" w:hAnsi="Arial" w:cs="Arial"/>
    </w:rPr>
  </w:style>
  <w:style w:type="paragraph" w:styleId="ListParagraph">
    <w:name w:val="List Paragraph"/>
    <w:basedOn w:val="Normal"/>
    <w:link w:val="ListParagraphChar"/>
    <w:uiPriority w:val="34"/>
    <w:qFormat/>
    <w:rsid w:val="00C07561"/>
    <w:pPr>
      <w:numPr>
        <w:numId w:val="1"/>
      </w:numPr>
      <w:spacing w:after="0" w:line="240" w:lineRule="auto"/>
    </w:pPr>
    <w:rPr>
      <w:rFonts w:ascii="Arial" w:hAnsi="Arial" w:cs="Arial"/>
    </w:rPr>
  </w:style>
  <w:style w:type="paragraph" w:styleId="Footer">
    <w:name w:val="footer"/>
    <w:basedOn w:val="Normal"/>
    <w:link w:val="FooterChar"/>
    <w:uiPriority w:val="99"/>
    <w:unhideWhenUsed/>
    <w:rsid w:val="00C07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561"/>
  </w:style>
  <w:style w:type="character" w:styleId="UnresolvedMention">
    <w:name w:val="Unresolved Mention"/>
    <w:basedOn w:val="DefaultParagraphFont"/>
    <w:uiPriority w:val="99"/>
    <w:semiHidden/>
    <w:unhideWhenUsed/>
    <w:rsid w:val="007A58C3"/>
    <w:rPr>
      <w:color w:val="605E5C"/>
      <w:shd w:val="clear" w:color="auto" w:fill="E1DFDD"/>
    </w:rPr>
  </w:style>
  <w:style w:type="character" w:customStyle="1" w:styleId="ui-provider">
    <w:name w:val="ui-provider"/>
    <w:basedOn w:val="DefaultParagraphFont"/>
    <w:rsid w:val="00957CE2"/>
  </w:style>
  <w:style w:type="paragraph" w:styleId="NormalWeb">
    <w:name w:val="Normal (Web)"/>
    <w:basedOn w:val="Normal"/>
    <w:uiPriority w:val="99"/>
    <w:semiHidden/>
    <w:unhideWhenUsed/>
    <w:rsid w:val="00957C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57CE2"/>
    <w:rPr>
      <w:color w:val="954F72" w:themeColor="followedHyperlink"/>
      <w:u w:val="single"/>
    </w:rPr>
  </w:style>
  <w:style w:type="paragraph" w:styleId="Revision">
    <w:name w:val="Revision"/>
    <w:hidden/>
    <w:uiPriority w:val="99"/>
    <w:semiHidden/>
    <w:rsid w:val="00903B60"/>
    <w:pPr>
      <w:spacing w:after="0" w:line="240" w:lineRule="auto"/>
    </w:pPr>
  </w:style>
  <w:style w:type="paragraph" w:customStyle="1" w:styleId="xxmsonormal">
    <w:name w:val="x_xmsonormal"/>
    <w:basedOn w:val="Normal"/>
    <w:rsid w:val="00BB47B7"/>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9F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8806">
      <w:bodyDiv w:val="1"/>
      <w:marLeft w:val="0"/>
      <w:marRight w:val="0"/>
      <w:marTop w:val="0"/>
      <w:marBottom w:val="0"/>
      <w:divBdr>
        <w:top w:val="none" w:sz="0" w:space="0" w:color="auto"/>
        <w:left w:val="none" w:sz="0" w:space="0" w:color="auto"/>
        <w:bottom w:val="none" w:sz="0" w:space="0" w:color="auto"/>
        <w:right w:val="none" w:sz="0" w:space="0" w:color="auto"/>
      </w:divBdr>
    </w:div>
    <w:div w:id="272053501">
      <w:bodyDiv w:val="1"/>
      <w:marLeft w:val="0"/>
      <w:marRight w:val="0"/>
      <w:marTop w:val="0"/>
      <w:marBottom w:val="0"/>
      <w:divBdr>
        <w:top w:val="none" w:sz="0" w:space="0" w:color="auto"/>
        <w:left w:val="none" w:sz="0" w:space="0" w:color="auto"/>
        <w:bottom w:val="none" w:sz="0" w:space="0" w:color="auto"/>
        <w:right w:val="none" w:sz="0" w:space="0" w:color="auto"/>
      </w:divBdr>
    </w:div>
    <w:div w:id="413165482">
      <w:bodyDiv w:val="1"/>
      <w:marLeft w:val="0"/>
      <w:marRight w:val="0"/>
      <w:marTop w:val="0"/>
      <w:marBottom w:val="0"/>
      <w:divBdr>
        <w:top w:val="none" w:sz="0" w:space="0" w:color="auto"/>
        <w:left w:val="none" w:sz="0" w:space="0" w:color="auto"/>
        <w:bottom w:val="none" w:sz="0" w:space="0" w:color="auto"/>
        <w:right w:val="none" w:sz="0" w:space="0" w:color="auto"/>
      </w:divBdr>
    </w:div>
    <w:div w:id="470439395">
      <w:bodyDiv w:val="1"/>
      <w:marLeft w:val="0"/>
      <w:marRight w:val="0"/>
      <w:marTop w:val="0"/>
      <w:marBottom w:val="0"/>
      <w:divBdr>
        <w:top w:val="none" w:sz="0" w:space="0" w:color="auto"/>
        <w:left w:val="none" w:sz="0" w:space="0" w:color="auto"/>
        <w:bottom w:val="none" w:sz="0" w:space="0" w:color="auto"/>
        <w:right w:val="none" w:sz="0" w:space="0" w:color="auto"/>
      </w:divBdr>
    </w:div>
    <w:div w:id="521630267">
      <w:bodyDiv w:val="1"/>
      <w:marLeft w:val="0"/>
      <w:marRight w:val="0"/>
      <w:marTop w:val="0"/>
      <w:marBottom w:val="0"/>
      <w:divBdr>
        <w:top w:val="none" w:sz="0" w:space="0" w:color="auto"/>
        <w:left w:val="none" w:sz="0" w:space="0" w:color="auto"/>
        <w:bottom w:val="none" w:sz="0" w:space="0" w:color="auto"/>
        <w:right w:val="none" w:sz="0" w:space="0" w:color="auto"/>
      </w:divBdr>
    </w:div>
    <w:div w:id="582493146">
      <w:bodyDiv w:val="1"/>
      <w:marLeft w:val="0"/>
      <w:marRight w:val="0"/>
      <w:marTop w:val="0"/>
      <w:marBottom w:val="0"/>
      <w:divBdr>
        <w:top w:val="none" w:sz="0" w:space="0" w:color="auto"/>
        <w:left w:val="none" w:sz="0" w:space="0" w:color="auto"/>
        <w:bottom w:val="none" w:sz="0" w:space="0" w:color="auto"/>
        <w:right w:val="none" w:sz="0" w:space="0" w:color="auto"/>
      </w:divBdr>
    </w:div>
    <w:div w:id="795679684">
      <w:bodyDiv w:val="1"/>
      <w:marLeft w:val="0"/>
      <w:marRight w:val="0"/>
      <w:marTop w:val="0"/>
      <w:marBottom w:val="0"/>
      <w:divBdr>
        <w:top w:val="none" w:sz="0" w:space="0" w:color="auto"/>
        <w:left w:val="none" w:sz="0" w:space="0" w:color="auto"/>
        <w:bottom w:val="none" w:sz="0" w:space="0" w:color="auto"/>
        <w:right w:val="none" w:sz="0" w:space="0" w:color="auto"/>
      </w:divBdr>
    </w:div>
    <w:div w:id="857237695">
      <w:bodyDiv w:val="1"/>
      <w:marLeft w:val="0"/>
      <w:marRight w:val="0"/>
      <w:marTop w:val="0"/>
      <w:marBottom w:val="0"/>
      <w:divBdr>
        <w:top w:val="none" w:sz="0" w:space="0" w:color="auto"/>
        <w:left w:val="none" w:sz="0" w:space="0" w:color="auto"/>
        <w:bottom w:val="none" w:sz="0" w:space="0" w:color="auto"/>
        <w:right w:val="none" w:sz="0" w:space="0" w:color="auto"/>
      </w:divBdr>
      <w:divsChild>
        <w:div w:id="1608852302">
          <w:marLeft w:val="0"/>
          <w:marRight w:val="0"/>
          <w:marTop w:val="0"/>
          <w:marBottom w:val="0"/>
          <w:divBdr>
            <w:top w:val="none" w:sz="0" w:space="0" w:color="auto"/>
            <w:left w:val="none" w:sz="0" w:space="0" w:color="auto"/>
            <w:bottom w:val="none" w:sz="0" w:space="0" w:color="auto"/>
            <w:right w:val="none" w:sz="0" w:space="0" w:color="auto"/>
          </w:divBdr>
        </w:div>
        <w:div w:id="83960548">
          <w:marLeft w:val="0"/>
          <w:marRight w:val="0"/>
          <w:marTop w:val="0"/>
          <w:marBottom w:val="0"/>
          <w:divBdr>
            <w:top w:val="none" w:sz="0" w:space="0" w:color="auto"/>
            <w:left w:val="none" w:sz="0" w:space="0" w:color="auto"/>
            <w:bottom w:val="none" w:sz="0" w:space="0" w:color="auto"/>
            <w:right w:val="none" w:sz="0" w:space="0" w:color="auto"/>
          </w:divBdr>
        </w:div>
        <w:div w:id="586115931">
          <w:marLeft w:val="0"/>
          <w:marRight w:val="0"/>
          <w:marTop w:val="0"/>
          <w:marBottom w:val="0"/>
          <w:divBdr>
            <w:top w:val="none" w:sz="0" w:space="0" w:color="auto"/>
            <w:left w:val="none" w:sz="0" w:space="0" w:color="auto"/>
            <w:bottom w:val="none" w:sz="0" w:space="0" w:color="auto"/>
            <w:right w:val="none" w:sz="0" w:space="0" w:color="auto"/>
          </w:divBdr>
        </w:div>
      </w:divsChild>
    </w:div>
    <w:div w:id="877661839">
      <w:bodyDiv w:val="1"/>
      <w:marLeft w:val="0"/>
      <w:marRight w:val="0"/>
      <w:marTop w:val="0"/>
      <w:marBottom w:val="0"/>
      <w:divBdr>
        <w:top w:val="none" w:sz="0" w:space="0" w:color="auto"/>
        <w:left w:val="none" w:sz="0" w:space="0" w:color="auto"/>
        <w:bottom w:val="none" w:sz="0" w:space="0" w:color="auto"/>
        <w:right w:val="none" w:sz="0" w:space="0" w:color="auto"/>
      </w:divBdr>
    </w:div>
    <w:div w:id="964116878">
      <w:bodyDiv w:val="1"/>
      <w:marLeft w:val="0"/>
      <w:marRight w:val="0"/>
      <w:marTop w:val="0"/>
      <w:marBottom w:val="0"/>
      <w:divBdr>
        <w:top w:val="none" w:sz="0" w:space="0" w:color="auto"/>
        <w:left w:val="none" w:sz="0" w:space="0" w:color="auto"/>
        <w:bottom w:val="none" w:sz="0" w:space="0" w:color="auto"/>
        <w:right w:val="none" w:sz="0" w:space="0" w:color="auto"/>
      </w:divBdr>
    </w:div>
    <w:div w:id="1014840535">
      <w:bodyDiv w:val="1"/>
      <w:marLeft w:val="0"/>
      <w:marRight w:val="0"/>
      <w:marTop w:val="0"/>
      <w:marBottom w:val="0"/>
      <w:divBdr>
        <w:top w:val="none" w:sz="0" w:space="0" w:color="auto"/>
        <w:left w:val="none" w:sz="0" w:space="0" w:color="auto"/>
        <w:bottom w:val="none" w:sz="0" w:space="0" w:color="auto"/>
        <w:right w:val="none" w:sz="0" w:space="0" w:color="auto"/>
      </w:divBdr>
    </w:div>
    <w:div w:id="1100686104">
      <w:bodyDiv w:val="1"/>
      <w:marLeft w:val="0"/>
      <w:marRight w:val="0"/>
      <w:marTop w:val="0"/>
      <w:marBottom w:val="0"/>
      <w:divBdr>
        <w:top w:val="none" w:sz="0" w:space="0" w:color="auto"/>
        <w:left w:val="none" w:sz="0" w:space="0" w:color="auto"/>
        <w:bottom w:val="none" w:sz="0" w:space="0" w:color="auto"/>
        <w:right w:val="none" w:sz="0" w:space="0" w:color="auto"/>
      </w:divBdr>
    </w:div>
    <w:div w:id="1156072250">
      <w:bodyDiv w:val="1"/>
      <w:marLeft w:val="0"/>
      <w:marRight w:val="0"/>
      <w:marTop w:val="0"/>
      <w:marBottom w:val="0"/>
      <w:divBdr>
        <w:top w:val="none" w:sz="0" w:space="0" w:color="auto"/>
        <w:left w:val="none" w:sz="0" w:space="0" w:color="auto"/>
        <w:bottom w:val="none" w:sz="0" w:space="0" w:color="auto"/>
        <w:right w:val="none" w:sz="0" w:space="0" w:color="auto"/>
      </w:divBdr>
    </w:div>
    <w:div w:id="1180965682">
      <w:bodyDiv w:val="1"/>
      <w:marLeft w:val="0"/>
      <w:marRight w:val="0"/>
      <w:marTop w:val="0"/>
      <w:marBottom w:val="0"/>
      <w:divBdr>
        <w:top w:val="none" w:sz="0" w:space="0" w:color="auto"/>
        <w:left w:val="none" w:sz="0" w:space="0" w:color="auto"/>
        <w:bottom w:val="none" w:sz="0" w:space="0" w:color="auto"/>
        <w:right w:val="none" w:sz="0" w:space="0" w:color="auto"/>
      </w:divBdr>
    </w:div>
    <w:div w:id="1369718530">
      <w:bodyDiv w:val="1"/>
      <w:marLeft w:val="0"/>
      <w:marRight w:val="0"/>
      <w:marTop w:val="0"/>
      <w:marBottom w:val="0"/>
      <w:divBdr>
        <w:top w:val="none" w:sz="0" w:space="0" w:color="auto"/>
        <w:left w:val="none" w:sz="0" w:space="0" w:color="auto"/>
        <w:bottom w:val="none" w:sz="0" w:space="0" w:color="auto"/>
        <w:right w:val="none" w:sz="0" w:space="0" w:color="auto"/>
      </w:divBdr>
    </w:div>
    <w:div w:id="1395280128">
      <w:bodyDiv w:val="1"/>
      <w:marLeft w:val="0"/>
      <w:marRight w:val="0"/>
      <w:marTop w:val="0"/>
      <w:marBottom w:val="0"/>
      <w:divBdr>
        <w:top w:val="none" w:sz="0" w:space="0" w:color="auto"/>
        <w:left w:val="none" w:sz="0" w:space="0" w:color="auto"/>
        <w:bottom w:val="none" w:sz="0" w:space="0" w:color="auto"/>
        <w:right w:val="none" w:sz="0" w:space="0" w:color="auto"/>
      </w:divBdr>
    </w:div>
    <w:div w:id="1448114629">
      <w:bodyDiv w:val="1"/>
      <w:marLeft w:val="0"/>
      <w:marRight w:val="0"/>
      <w:marTop w:val="0"/>
      <w:marBottom w:val="0"/>
      <w:divBdr>
        <w:top w:val="none" w:sz="0" w:space="0" w:color="auto"/>
        <w:left w:val="none" w:sz="0" w:space="0" w:color="auto"/>
        <w:bottom w:val="none" w:sz="0" w:space="0" w:color="auto"/>
        <w:right w:val="none" w:sz="0" w:space="0" w:color="auto"/>
      </w:divBdr>
    </w:div>
    <w:div w:id="1491169815">
      <w:bodyDiv w:val="1"/>
      <w:marLeft w:val="0"/>
      <w:marRight w:val="0"/>
      <w:marTop w:val="0"/>
      <w:marBottom w:val="0"/>
      <w:divBdr>
        <w:top w:val="none" w:sz="0" w:space="0" w:color="auto"/>
        <w:left w:val="none" w:sz="0" w:space="0" w:color="auto"/>
        <w:bottom w:val="none" w:sz="0" w:space="0" w:color="auto"/>
        <w:right w:val="none" w:sz="0" w:space="0" w:color="auto"/>
      </w:divBdr>
    </w:div>
    <w:div w:id="1613591076">
      <w:bodyDiv w:val="1"/>
      <w:marLeft w:val="0"/>
      <w:marRight w:val="0"/>
      <w:marTop w:val="0"/>
      <w:marBottom w:val="0"/>
      <w:divBdr>
        <w:top w:val="none" w:sz="0" w:space="0" w:color="auto"/>
        <w:left w:val="none" w:sz="0" w:space="0" w:color="auto"/>
        <w:bottom w:val="none" w:sz="0" w:space="0" w:color="auto"/>
        <w:right w:val="none" w:sz="0" w:space="0" w:color="auto"/>
      </w:divBdr>
      <w:divsChild>
        <w:div w:id="1439180522">
          <w:marLeft w:val="0"/>
          <w:marRight w:val="0"/>
          <w:marTop w:val="0"/>
          <w:marBottom w:val="0"/>
          <w:divBdr>
            <w:top w:val="none" w:sz="0" w:space="0" w:color="auto"/>
            <w:left w:val="none" w:sz="0" w:space="0" w:color="auto"/>
            <w:bottom w:val="none" w:sz="0" w:space="0" w:color="auto"/>
            <w:right w:val="none" w:sz="0" w:space="0" w:color="auto"/>
          </w:divBdr>
        </w:div>
      </w:divsChild>
    </w:div>
    <w:div w:id="1623727401">
      <w:bodyDiv w:val="1"/>
      <w:marLeft w:val="0"/>
      <w:marRight w:val="0"/>
      <w:marTop w:val="0"/>
      <w:marBottom w:val="0"/>
      <w:divBdr>
        <w:top w:val="none" w:sz="0" w:space="0" w:color="auto"/>
        <w:left w:val="none" w:sz="0" w:space="0" w:color="auto"/>
        <w:bottom w:val="none" w:sz="0" w:space="0" w:color="auto"/>
        <w:right w:val="none" w:sz="0" w:space="0" w:color="auto"/>
      </w:divBdr>
    </w:div>
    <w:div w:id="1628193709">
      <w:bodyDiv w:val="1"/>
      <w:marLeft w:val="0"/>
      <w:marRight w:val="0"/>
      <w:marTop w:val="0"/>
      <w:marBottom w:val="0"/>
      <w:divBdr>
        <w:top w:val="none" w:sz="0" w:space="0" w:color="auto"/>
        <w:left w:val="none" w:sz="0" w:space="0" w:color="auto"/>
        <w:bottom w:val="none" w:sz="0" w:space="0" w:color="auto"/>
        <w:right w:val="none" w:sz="0" w:space="0" w:color="auto"/>
      </w:divBdr>
    </w:div>
    <w:div w:id="1632203578">
      <w:bodyDiv w:val="1"/>
      <w:marLeft w:val="0"/>
      <w:marRight w:val="0"/>
      <w:marTop w:val="0"/>
      <w:marBottom w:val="0"/>
      <w:divBdr>
        <w:top w:val="none" w:sz="0" w:space="0" w:color="auto"/>
        <w:left w:val="none" w:sz="0" w:space="0" w:color="auto"/>
        <w:bottom w:val="none" w:sz="0" w:space="0" w:color="auto"/>
        <w:right w:val="none" w:sz="0" w:space="0" w:color="auto"/>
      </w:divBdr>
    </w:div>
    <w:div w:id="1717462764">
      <w:bodyDiv w:val="1"/>
      <w:marLeft w:val="0"/>
      <w:marRight w:val="0"/>
      <w:marTop w:val="0"/>
      <w:marBottom w:val="0"/>
      <w:divBdr>
        <w:top w:val="none" w:sz="0" w:space="0" w:color="auto"/>
        <w:left w:val="none" w:sz="0" w:space="0" w:color="auto"/>
        <w:bottom w:val="none" w:sz="0" w:space="0" w:color="auto"/>
        <w:right w:val="none" w:sz="0" w:space="0" w:color="auto"/>
      </w:divBdr>
    </w:div>
    <w:div w:id="1803691014">
      <w:bodyDiv w:val="1"/>
      <w:marLeft w:val="0"/>
      <w:marRight w:val="0"/>
      <w:marTop w:val="0"/>
      <w:marBottom w:val="0"/>
      <w:divBdr>
        <w:top w:val="none" w:sz="0" w:space="0" w:color="auto"/>
        <w:left w:val="none" w:sz="0" w:space="0" w:color="auto"/>
        <w:bottom w:val="none" w:sz="0" w:space="0" w:color="auto"/>
        <w:right w:val="none" w:sz="0" w:space="0" w:color="auto"/>
      </w:divBdr>
    </w:div>
    <w:div w:id="1852066664">
      <w:bodyDiv w:val="1"/>
      <w:marLeft w:val="0"/>
      <w:marRight w:val="0"/>
      <w:marTop w:val="0"/>
      <w:marBottom w:val="0"/>
      <w:divBdr>
        <w:top w:val="none" w:sz="0" w:space="0" w:color="auto"/>
        <w:left w:val="none" w:sz="0" w:space="0" w:color="auto"/>
        <w:bottom w:val="none" w:sz="0" w:space="0" w:color="auto"/>
        <w:right w:val="none" w:sz="0" w:space="0" w:color="auto"/>
      </w:divBdr>
    </w:div>
    <w:div w:id="1891185289">
      <w:bodyDiv w:val="1"/>
      <w:marLeft w:val="0"/>
      <w:marRight w:val="0"/>
      <w:marTop w:val="0"/>
      <w:marBottom w:val="0"/>
      <w:divBdr>
        <w:top w:val="none" w:sz="0" w:space="0" w:color="auto"/>
        <w:left w:val="none" w:sz="0" w:space="0" w:color="auto"/>
        <w:bottom w:val="none" w:sz="0" w:space="0" w:color="auto"/>
        <w:right w:val="none" w:sz="0" w:space="0" w:color="auto"/>
      </w:divBdr>
    </w:div>
    <w:div w:id="19401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assets.publishing.service.gov.uk%2Fmedia%2F6982013bf2ea511998158fa8%2FChargeable_extras_template_2026.docx&amp;wdOrigin=BROWSELINK" TargetMode="External"/><Relationship Id="rId13" Type="http://schemas.openxmlformats.org/officeDocument/2006/relationships/hyperlink" Target="https://cyps.northyorks.gov.uk/sites/default/files/Early%20years/eyc%20funding/Early%20Years%20Funding%20Rates%202026-2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arly-education-and-childcare--2/early-education-and-childcare-valid-from-1-april-2026" TargetMode="External"/><Relationship Id="rId12" Type="http://schemas.openxmlformats.org/officeDocument/2006/relationships/hyperlink" Target="https://cyps.northyorks.gov.uk/sites/default/files/Early%20years/eyc%20funding/Useful%20dates%202026-202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ps.northyorks.gov.uk/sites/default/files/Early%20years/eyc%20funding/Provider%20Timetable%20-%20Summer%202026.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yps.northyorks.gov.uk/early-years-funding" TargetMode="External"/><Relationship Id="rId4" Type="http://schemas.openxmlformats.org/officeDocument/2006/relationships/webSettings" Target="webSettings.xml"/><Relationship Id="rId9" Type="http://schemas.openxmlformats.org/officeDocument/2006/relationships/hyperlink" Target="mailto:eyft@northyork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Povall</dc:creator>
  <cp:keywords/>
  <dc:description/>
  <cp:lastModifiedBy>Joanne Webster</cp:lastModifiedBy>
  <cp:revision>4</cp:revision>
  <dcterms:created xsi:type="dcterms:W3CDTF">2026-04-27T10:37:00Z</dcterms:created>
  <dcterms:modified xsi:type="dcterms:W3CDTF">2026-04-27T13:46:00Z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2024-08-23T09:28:43Z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d4d37c90-40c0-4622-886d-69534d1f2bc0</vt:lpwstr>
  </property>
  <property fmtid="{D5CDD505-2E9C-101B-9397-08002B2CF9AE}" pid="11" name="MSIP_Label_3ecdfc32-7be5-4b17-9f97-00453388bdd7_ContentBits">
    <vt:lpwstr>2</vt:lpwstr>
  </property>
</Properties>
</file>