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6434D4" w14:textId="77777777" w:rsidR="00BA0C48" w:rsidRPr="00BA0C48" w:rsidRDefault="00BA0C48" w:rsidP="006B3CF6">
      <w:pPr>
        <w:tabs>
          <w:tab w:val="center" w:pos="4513"/>
          <w:tab w:val="right" w:pos="9026"/>
        </w:tabs>
        <w:spacing w:after="0" w:line="240" w:lineRule="auto"/>
        <w:rPr>
          <w:b/>
          <w:bCs/>
          <w:sz w:val="16"/>
          <w:szCs w:val="16"/>
        </w:rPr>
      </w:pPr>
    </w:p>
    <w:p w14:paraId="764B89F8" w14:textId="77777777" w:rsidR="00BA0C48" w:rsidRDefault="00F4430F" w:rsidP="00BA0C48">
      <w:pPr>
        <w:pBdr>
          <w:bottom w:val="thinThickThinLargeGap" w:sz="24" w:space="1" w:color="auto"/>
        </w:pBdr>
        <w:shd w:val="clear" w:color="auto" w:fill="9CC2E5" w:themeFill="accent5" w:themeFillTint="99"/>
        <w:rPr>
          <w:b/>
          <w:bCs/>
          <w:sz w:val="44"/>
          <w:szCs w:val="44"/>
        </w:rPr>
      </w:pPr>
      <w:r w:rsidRPr="00BA0C48">
        <w:rPr>
          <w:b/>
          <w:bCs/>
          <w:sz w:val="44"/>
          <w:szCs w:val="44"/>
        </w:rPr>
        <w:t xml:space="preserve">Population Health Analysis </w:t>
      </w:r>
      <w:r w:rsidR="00171242" w:rsidRPr="00BA0C48">
        <w:rPr>
          <w:b/>
          <w:bCs/>
          <w:sz w:val="44"/>
          <w:szCs w:val="44"/>
        </w:rPr>
        <w:t>Briefing</w:t>
      </w:r>
    </w:p>
    <w:p w14:paraId="4AF8F0F2" w14:textId="77777777" w:rsidR="0082010C" w:rsidRPr="00BA0C48" w:rsidRDefault="0082010C" w:rsidP="00BA0C48">
      <w:pPr>
        <w:pBdr>
          <w:bottom w:val="thinThickThinLargeGap" w:sz="24" w:space="1" w:color="auto"/>
        </w:pBdr>
        <w:shd w:val="clear" w:color="auto" w:fill="9CC2E5" w:themeFill="accent5" w:themeFillTint="99"/>
        <w:rPr>
          <w:b/>
          <w:bCs/>
          <w:sz w:val="16"/>
          <w:szCs w:val="16"/>
        </w:rPr>
      </w:pPr>
    </w:p>
    <w:p w14:paraId="4B404583" w14:textId="77777777" w:rsidR="00171242" w:rsidRDefault="006B3CF6" w:rsidP="00BA0C48">
      <w:pPr>
        <w:pStyle w:val="Heading2"/>
      </w:pPr>
      <w:r w:rsidRPr="006B3CF6">
        <w:t>National Child Measurement Programme annual report, academic year 2024 to 2025</w:t>
      </w:r>
      <w:r w:rsidR="00F4430F" w:rsidRPr="00F4430F">
        <w:t xml:space="preserve"> </w:t>
      </w:r>
    </w:p>
    <w:p w14:paraId="7BB78502" w14:textId="77777777" w:rsidR="004A5501" w:rsidRDefault="004A5501" w:rsidP="004A5501">
      <w:r>
        <w:t>Date of report publication:</w:t>
      </w:r>
      <w:r w:rsidR="006B3CF6">
        <w:t xml:space="preserve"> 4 November 2025</w:t>
      </w:r>
    </w:p>
    <w:p w14:paraId="4A769670" w14:textId="77777777" w:rsidR="004A5501" w:rsidRPr="004A5501" w:rsidRDefault="004A5501" w:rsidP="00545D2A">
      <w:r>
        <w:t xml:space="preserve">Report published by: </w:t>
      </w:r>
      <w:r w:rsidR="00B655C2">
        <w:t xml:space="preserve">Population Health Analysis, </w:t>
      </w:r>
      <w:r w:rsidR="00FD1EE9">
        <w:t xml:space="preserve">Office for Health Improvement and </w:t>
      </w:r>
      <w:r w:rsidR="00FD1EE9" w:rsidRPr="00FD1EE9">
        <w:t>Disparities (</w:t>
      </w:r>
      <w:r w:rsidR="00B655C2" w:rsidRPr="00FD1EE9">
        <w:t>OHID</w:t>
      </w:r>
      <w:r w:rsidR="00FD1EE9" w:rsidRPr="00FD1EE9">
        <w:t>)</w:t>
      </w:r>
      <w:r w:rsidR="00176E25">
        <w:t>, DHSC</w:t>
      </w:r>
    </w:p>
    <w:p w14:paraId="42761224" w14:textId="77777777" w:rsidR="00171242" w:rsidRDefault="00153989" w:rsidP="00BA0C48">
      <w:pPr>
        <w:pStyle w:val="Heading2"/>
      </w:pPr>
      <w:r>
        <w:t>Introduction</w:t>
      </w:r>
      <w:r w:rsidRPr="00171242">
        <w:t xml:space="preserve"> </w:t>
      </w:r>
    </w:p>
    <w:p w14:paraId="46A2C58C" w14:textId="77777777" w:rsidR="006B3CF6" w:rsidRDefault="006B3CF6" w:rsidP="006B3CF6">
      <w:r>
        <w:t xml:space="preserve">The </w:t>
      </w:r>
      <w:hyperlink r:id="rId11" w:history="1">
        <w:r w:rsidRPr="005C5911">
          <w:rPr>
            <w:rStyle w:val="Hyperlink"/>
          </w:rPr>
          <w:t>National Child Measurement Programme (NCMP) annual report</w:t>
        </w:r>
      </w:hyperlink>
      <w:r>
        <w:t xml:space="preserve"> presents the new year of NCMP data for 2024 to 2025 and examines the patterns and trends in the prevalence of obesity, severe obesity, overweight, healthy weight and underweight among children in reception (age 4 to 5 years) and year 6 (age 10 to 11 years). Data is presented by sex, ethnic group, level of deprivation and for geographic areas in England.</w:t>
      </w:r>
    </w:p>
    <w:p w14:paraId="6D8156DC" w14:textId="77777777" w:rsidR="00FD1EE9" w:rsidRDefault="00FD1EE9" w:rsidP="006B3CF6"/>
    <w:p w14:paraId="15EE2F4F" w14:textId="77777777" w:rsidR="00F4430F" w:rsidRPr="00F4430F" w:rsidRDefault="00E26270" w:rsidP="00BA0C48">
      <w:pPr>
        <w:pStyle w:val="Heading2"/>
      </w:pPr>
      <w:r>
        <w:t>Main</w:t>
      </w:r>
      <w:r w:rsidRPr="00F4430F">
        <w:t xml:space="preserve"> </w:t>
      </w:r>
      <w:r w:rsidR="00F4430F" w:rsidRPr="00F4430F">
        <w:t>findings</w:t>
      </w:r>
    </w:p>
    <w:p w14:paraId="6D99A710" w14:textId="77777777" w:rsidR="00171242" w:rsidRPr="00171242" w:rsidRDefault="006B3CF6" w:rsidP="00FD1EE9">
      <w:pPr>
        <w:pStyle w:val="ListParagraph"/>
        <w:numPr>
          <w:ilvl w:val="0"/>
          <w:numId w:val="2"/>
        </w:numPr>
        <w:ind w:left="426" w:hanging="426"/>
      </w:pPr>
      <w:r w:rsidRPr="006B3CF6">
        <w:t>The prevalence of obesity among reception children in 2024</w:t>
      </w:r>
      <w:r w:rsidR="00FD1EE9">
        <w:t xml:space="preserve"> to 20</w:t>
      </w:r>
      <w:r w:rsidRPr="006B3CF6">
        <w:t xml:space="preserve">25 increased </w:t>
      </w:r>
      <w:r w:rsidR="00724011">
        <w:t xml:space="preserve">to 10.5% </w:t>
      </w:r>
      <w:r w:rsidRPr="006B3CF6">
        <w:t>from 9.6% in 2023</w:t>
      </w:r>
      <w:r w:rsidR="00FD1EE9">
        <w:t xml:space="preserve"> to 20</w:t>
      </w:r>
      <w:r w:rsidRPr="006B3CF6">
        <w:t>24</w:t>
      </w:r>
      <w:r w:rsidR="00724011">
        <w:t>.</w:t>
      </w:r>
      <w:r w:rsidRPr="006B3CF6">
        <w:t xml:space="preserve"> Excluding the peak in 2020</w:t>
      </w:r>
      <w:r w:rsidR="0068791B">
        <w:t xml:space="preserve"> to 20</w:t>
      </w:r>
      <w:r w:rsidRPr="006B3CF6">
        <w:t>21 during the pandemic</w:t>
      </w:r>
      <w:r w:rsidR="00724011">
        <w:t>,</w:t>
      </w:r>
      <w:r w:rsidRPr="006B3CF6">
        <w:t xml:space="preserve"> this is the highest obesity prevalence seen in reception since the NCMP began in 2006</w:t>
      </w:r>
      <w:r w:rsidR="00FD1EE9">
        <w:t xml:space="preserve"> to 20</w:t>
      </w:r>
      <w:r w:rsidRPr="006B3CF6">
        <w:t>07</w:t>
      </w:r>
      <w:r w:rsidR="001E3A01">
        <w:t xml:space="preserve"> </w:t>
      </w:r>
      <w:r w:rsidR="001E3A01" w:rsidRPr="001E3A01">
        <w:t xml:space="preserve">but remains just within </w:t>
      </w:r>
      <w:r w:rsidR="0020796E">
        <w:t xml:space="preserve">expectations </w:t>
      </w:r>
      <w:r w:rsidR="00E17CF2">
        <w:t xml:space="preserve">based on the </w:t>
      </w:r>
      <w:r w:rsidR="001E3A01" w:rsidRPr="001E3A01">
        <w:t>pre-pandemic trend</w:t>
      </w:r>
      <w:r>
        <w:t>.</w:t>
      </w:r>
      <w:r w:rsidR="00753DC2">
        <w:t xml:space="preserve"> </w:t>
      </w:r>
      <w:r w:rsidR="00753DC2" w:rsidRPr="00753DC2">
        <w:t>Further years of data are needed to determine whether this is part of a long-term increase in prevalence for this age group.</w:t>
      </w:r>
    </w:p>
    <w:p w14:paraId="3AAB07F3" w14:textId="77777777" w:rsidR="00AD5FEA" w:rsidRPr="00DB3297" w:rsidRDefault="00AD5FEA" w:rsidP="00FD1EE9">
      <w:pPr>
        <w:pStyle w:val="ListParagraph"/>
        <w:ind w:left="426" w:hanging="426"/>
      </w:pPr>
    </w:p>
    <w:p w14:paraId="4E5CC7EC" w14:textId="77777777" w:rsidR="00C03829" w:rsidRDefault="006B3CF6" w:rsidP="00FD1EE9">
      <w:pPr>
        <w:pStyle w:val="ListParagraph"/>
        <w:numPr>
          <w:ilvl w:val="0"/>
          <w:numId w:val="2"/>
        </w:numPr>
        <w:ind w:left="426" w:hanging="426"/>
      </w:pPr>
      <w:r w:rsidRPr="006B3CF6">
        <w:t>The prevalence of obesity in year 6 children in 2024</w:t>
      </w:r>
      <w:r w:rsidR="00FD1EE9">
        <w:t xml:space="preserve"> to 20</w:t>
      </w:r>
      <w:r w:rsidRPr="006B3CF6">
        <w:t>25 was 22.2%, this is similar to 2023</w:t>
      </w:r>
      <w:r w:rsidR="0068791B">
        <w:t xml:space="preserve"> to 20</w:t>
      </w:r>
      <w:r w:rsidRPr="006B3CF6">
        <w:t>24 when prevalence was 22.1%.</w:t>
      </w:r>
      <w:r>
        <w:t xml:space="preserve"> </w:t>
      </w:r>
      <w:r w:rsidRPr="006B3CF6">
        <w:t>The 2024</w:t>
      </w:r>
      <w:r w:rsidR="00FD1EE9">
        <w:t xml:space="preserve"> to 20</w:t>
      </w:r>
      <w:r w:rsidRPr="006B3CF6">
        <w:t>25 prevalence is in line with the pre-pandemic increasing trend.</w:t>
      </w:r>
    </w:p>
    <w:p w14:paraId="586E8FFC" w14:textId="77777777" w:rsidR="00171242" w:rsidRPr="00171242" w:rsidRDefault="00171242" w:rsidP="00FD1EE9">
      <w:pPr>
        <w:pStyle w:val="ListParagraph"/>
        <w:ind w:left="426" w:hanging="426"/>
      </w:pPr>
    </w:p>
    <w:p w14:paraId="24969BED" w14:textId="77777777" w:rsidR="00171242" w:rsidRDefault="00FD1EE9" w:rsidP="00FD1EE9">
      <w:pPr>
        <w:pStyle w:val="ListParagraph"/>
        <w:numPr>
          <w:ilvl w:val="0"/>
          <w:numId w:val="2"/>
        </w:numPr>
        <w:ind w:left="426" w:hanging="426"/>
      </w:pPr>
      <w:r w:rsidRPr="00FD1EE9">
        <w:t>Large differences in prevalence remain between ethnic groups, with children from Black ethnic groups more likely to be living with obesity, and children from the Indian ethnic group more likely to be underweight</w:t>
      </w:r>
      <w:r>
        <w:t>.</w:t>
      </w:r>
    </w:p>
    <w:p w14:paraId="40E8A3B9" w14:textId="77777777" w:rsidR="00FD1EE9" w:rsidRDefault="00FD1EE9" w:rsidP="00FD1EE9">
      <w:pPr>
        <w:pStyle w:val="ListParagraph"/>
        <w:ind w:left="426" w:hanging="426"/>
      </w:pPr>
    </w:p>
    <w:p w14:paraId="37DDB4C4" w14:textId="77777777" w:rsidR="00FD1EE9" w:rsidRDefault="00FD1EE9" w:rsidP="00FD1EE9">
      <w:pPr>
        <w:pStyle w:val="ListParagraph"/>
        <w:numPr>
          <w:ilvl w:val="0"/>
          <w:numId w:val="2"/>
        </w:numPr>
        <w:ind w:left="426" w:hanging="426"/>
      </w:pPr>
      <w:r w:rsidRPr="00FD1EE9">
        <w:t>Large differences in prevalence by level of deprivation also remain; obesity prevalence continues to be more than double in the most deprived areas compared to the least deprived areas for both reception (14.0% compared to 6.9%) and year 6 (29.3% compared to 13.5%), with the deprivation gap increasing since the early years of the NCMP</w:t>
      </w:r>
      <w:r>
        <w:t xml:space="preserve">. </w:t>
      </w:r>
      <w:r w:rsidRPr="00FD1EE9">
        <w:t>In 2024 to 2025, unlike in most previous years, there has been an increase in obesity prevalence in reception children in both the most and the least deprived areas.</w:t>
      </w:r>
    </w:p>
    <w:p w14:paraId="4F6CA4C2" w14:textId="77777777" w:rsidR="00FD1EE9" w:rsidRDefault="00FD1EE9" w:rsidP="00FD1EE9">
      <w:pPr>
        <w:pStyle w:val="ListParagraph"/>
        <w:ind w:left="426" w:hanging="426"/>
      </w:pPr>
    </w:p>
    <w:p w14:paraId="15F9935A" w14:textId="77777777" w:rsidR="00FD1EE9" w:rsidRDefault="00FD1EE9" w:rsidP="00FD1EE9">
      <w:pPr>
        <w:pStyle w:val="ListParagraph"/>
        <w:numPr>
          <w:ilvl w:val="0"/>
          <w:numId w:val="2"/>
        </w:numPr>
        <w:ind w:left="426" w:hanging="426"/>
      </w:pPr>
      <w:r w:rsidRPr="00FD1EE9">
        <w:lastRenderedPageBreak/>
        <w:t>At a regional and local level, variation in obesity prevalence is mostly driven by persistent inequalities by ethnic group and deprivation.</w:t>
      </w:r>
      <w:r>
        <w:t xml:space="preserve"> In reception children </w:t>
      </w:r>
      <w:r w:rsidRPr="00FD1EE9">
        <w:t>obesity prevalence</w:t>
      </w:r>
      <w:r>
        <w:t xml:space="preserve"> in 2024 to 2025</w:t>
      </w:r>
      <w:r w:rsidRPr="00FD1EE9">
        <w:t xml:space="preserve"> was highest in the North East (12.4%), Yorkshire and the Humber (12.0%), North West (11.5%) and West Midlands (11.4%)</w:t>
      </w:r>
      <w:r>
        <w:t xml:space="preserve">. For year 6 </w:t>
      </w:r>
      <w:r w:rsidRPr="00FD1EE9">
        <w:t>obesity prevalence was highest in the North East (25.0%), West Midlands (24.8%), Yorkshire and the Humber (24.1%), North West (23.6%) and London (23.2%)</w:t>
      </w:r>
      <w:r>
        <w:t>.</w:t>
      </w:r>
    </w:p>
    <w:p w14:paraId="22969440" w14:textId="77777777" w:rsidR="00C03829" w:rsidRPr="00171242" w:rsidRDefault="00C03829" w:rsidP="00BA0C48">
      <w:pPr>
        <w:pStyle w:val="Heading2"/>
      </w:pPr>
      <w:r w:rsidRPr="00171242">
        <w:t>Annex</w:t>
      </w:r>
    </w:p>
    <w:p w14:paraId="05C229B4" w14:textId="77777777" w:rsidR="00383508" w:rsidRDefault="00383508" w:rsidP="00383508">
      <w:r>
        <w:t xml:space="preserve">The </w:t>
      </w:r>
      <w:hyperlink r:id="rId12" w:history="1">
        <w:r w:rsidRPr="00D84EAF">
          <w:rPr>
            <w:rStyle w:val="Hyperlink"/>
          </w:rPr>
          <w:t>obesity, physical activity and nutrition profile on Fingertips</w:t>
        </w:r>
      </w:hyperlink>
      <w:r>
        <w:t xml:space="preserve"> has </w:t>
      </w:r>
      <w:r w:rsidR="003749FE">
        <w:t xml:space="preserve">also </w:t>
      </w:r>
      <w:r>
        <w:t xml:space="preserve">been updated and displays data from the National Child Measurement Programme (NCMP) showing the </w:t>
      </w:r>
      <w:r w:rsidRPr="00C20AA2">
        <w:t xml:space="preserve">prevalence of </w:t>
      </w:r>
      <w:r>
        <w:t>obesity, severe obesity, overweight, healthy weight and underweight</w:t>
      </w:r>
      <w:r w:rsidRPr="00C20AA2">
        <w:t>,</w:t>
      </w:r>
      <w:r>
        <w:t xml:space="preserve"> at upper and lower-tier local authority, integrated care board (ICB), region and England level over time. Inequalities in child obesity prevalence is displayed by sex, deprivation quintile and ethnic group for England, regions and local authority areas. </w:t>
      </w:r>
      <w:r w:rsidRPr="00FD1EE9">
        <w:t>Overweight and obesity prevalence trends are presented at Ward and MSOA level.</w:t>
      </w:r>
    </w:p>
    <w:p w14:paraId="04C698B0" w14:textId="77777777" w:rsidR="00383508" w:rsidRDefault="00383508" w:rsidP="00383508">
      <w:r>
        <w:t xml:space="preserve">This update also includes the publication of the national, regional and local authority patterns and trends in child obesity data slide packs, showing the 2024 to 2025 NCMP data, available in the </w:t>
      </w:r>
      <w:hyperlink r:id="rId13" w:anchor="page/13/gid/1938133288/pat/6/ati/502/are/E09000002/iid/93105/age/200/sex/4/cat/-1/ctp/-1/yrr/3/cid/4/tbm/1" w:history="1">
        <w:r w:rsidRPr="00633ED4">
          <w:rPr>
            <w:rStyle w:val="Hyperlink"/>
          </w:rPr>
          <w:t>‘Reports’ data view of the obesity, physical activity and nutrition profile</w:t>
        </w:r>
      </w:hyperlink>
      <w:r>
        <w:t>.</w:t>
      </w:r>
    </w:p>
    <w:p w14:paraId="51DC578D" w14:textId="77777777" w:rsidR="00383508" w:rsidRDefault="00383508" w:rsidP="00FD1EE9">
      <w:pPr>
        <w:spacing w:after="0" w:line="276" w:lineRule="auto"/>
        <w:rPr>
          <w:rFonts w:eastAsia="Calibri"/>
          <w:b/>
          <w:sz w:val="22"/>
          <w:szCs w:val="22"/>
        </w:rPr>
      </w:pPr>
    </w:p>
    <w:p w14:paraId="0D179E3B" w14:textId="77777777" w:rsidR="00FD1EE9" w:rsidRDefault="00FD1EE9" w:rsidP="00FD1EE9">
      <w:pPr>
        <w:spacing w:after="0" w:line="276" w:lineRule="auto"/>
        <w:rPr>
          <w:rStyle w:val="ui-provider"/>
          <w:sz w:val="22"/>
          <w:szCs w:val="22"/>
        </w:rPr>
      </w:pPr>
      <w:r w:rsidRPr="00F06673">
        <w:rPr>
          <w:rFonts w:eastAsia="Calibri"/>
          <w:b/>
          <w:sz w:val="22"/>
          <w:szCs w:val="22"/>
        </w:rPr>
        <w:t xml:space="preserve">Defining child </w:t>
      </w:r>
      <w:r w:rsidRPr="00F06673">
        <w:rPr>
          <w:rStyle w:val="ui-provider"/>
          <w:b/>
          <w:sz w:val="22"/>
          <w:szCs w:val="22"/>
        </w:rPr>
        <w:t>body mass index (</w:t>
      </w:r>
      <w:r w:rsidRPr="00F06673">
        <w:rPr>
          <w:rFonts w:eastAsia="Calibri"/>
          <w:b/>
          <w:sz w:val="22"/>
          <w:szCs w:val="22"/>
        </w:rPr>
        <w:t>BMI) categories</w:t>
      </w:r>
      <w:r w:rsidRPr="00F06673">
        <w:rPr>
          <w:rFonts w:eastAsia="Calibri"/>
          <w:sz w:val="22"/>
          <w:szCs w:val="22"/>
        </w:rPr>
        <w:t>:</w:t>
      </w:r>
      <w:r w:rsidRPr="00F06673">
        <w:rPr>
          <w:rFonts w:eastAsia="Calibri"/>
          <w:b/>
          <w:sz w:val="22"/>
          <w:szCs w:val="22"/>
        </w:rPr>
        <w:t xml:space="preserve"> </w:t>
      </w:r>
      <w:r w:rsidRPr="00F06673">
        <w:rPr>
          <w:rStyle w:val="ui-provider"/>
          <w:sz w:val="22"/>
          <w:szCs w:val="22"/>
        </w:rPr>
        <w:t>For population surveillance purposes, a child’s BMI is classed as overweight or obese where it is on or above the 85th centile or 95th centile, respectively, based on the British 1990 (UK90) growth reference data. The table below shows the BMI centile cut-offs used for each weight category.</w:t>
      </w:r>
    </w:p>
    <w:p w14:paraId="5E1E0763" w14:textId="77777777" w:rsidR="00143F7F" w:rsidRDefault="00143F7F" w:rsidP="00143F7F">
      <w:pPr>
        <w:spacing w:after="0" w:line="276" w:lineRule="auto"/>
        <w:rPr>
          <w:rFonts w:eastAsia="Calibri"/>
          <w:b/>
          <w:sz w:val="22"/>
          <w:szCs w:val="22"/>
        </w:rPr>
      </w:pPr>
    </w:p>
    <w:p w14:paraId="410E4585" w14:textId="77777777" w:rsidR="00FD1EE9" w:rsidRPr="00F06673" w:rsidRDefault="00FD1EE9" w:rsidP="00FD1EE9">
      <w:pPr>
        <w:spacing w:line="276" w:lineRule="auto"/>
        <w:rPr>
          <w:rFonts w:eastAsia="Calibri"/>
          <w:b/>
          <w:sz w:val="22"/>
          <w:szCs w:val="22"/>
        </w:rPr>
      </w:pPr>
      <w:r w:rsidRPr="00F06673">
        <w:rPr>
          <w:rFonts w:eastAsia="Calibri"/>
          <w:b/>
          <w:sz w:val="22"/>
          <w:szCs w:val="22"/>
        </w:rPr>
        <w:t>Table 1: UK90 child BMI centile cut-offs for population monitoring</w:t>
      </w:r>
    </w:p>
    <w:tbl>
      <w:tblPr>
        <w:tblStyle w:val="GridTable6Colourful"/>
        <w:tblW w:w="0" w:type="auto"/>
        <w:jc w:val="center"/>
        <w:tblLook w:val="04A0" w:firstRow="1" w:lastRow="0" w:firstColumn="1" w:lastColumn="0" w:noHBand="0" w:noVBand="1"/>
      </w:tblPr>
      <w:tblGrid>
        <w:gridCol w:w="4961"/>
        <w:gridCol w:w="2972"/>
      </w:tblGrid>
      <w:tr w:rsidR="00FD1EE9" w:rsidRPr="00F06673" w14:paraId="30D01E9F" w14:textId="77777777" w:rsidTr="002B71CE">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4961" w:type="dxa"/>
          </w:tcPr>
          <w:p w14:paraId="5B8DD003" w14:textId="77777777" w:rsidR="00FD1EE9" w:rsidRPr="00F06673" w:rsidRDefault="00FD1EE9" w:rsidP="002B71CE">
            <w:pPr>
              <w:spacing w:line="276" w:lineRule="auto"/>
              <w:ind w:left="166" w:hanging="229"/>
              <w:rPr>
                <w:rFonts w:eastAsia="Calibri"/>
                <w:sz w:val="22"/>
                <w:szCs w:val="22"/>
                <w:lang w:eastAsia="en-US"/>
              </w:rPr>
            </w:pPr>
            <w:r w:rsidRPr="00F06673">
              <w:rPr>
                <w:rFonts w:eastAsia="Calibri"/>
                <w:sz w:val="22"/>
                <w:szCs w:val="22"/>
                <w:lang w:eastAsia="en-US"/>
              </w:rPr>
              <w:t>Population monitoring BMI centile category</w:t>
            </w:r>
          </w:p>
        </w:tc>
        <w:tc>
          <w:tcPr>
            <w:tcW w:w="2972" w:type="dxa"/>
          </w:tcPr>
          <w:p w14:paraId="6A71F4FB" w14:textId="77777777" w:rsidR="00FD1EE9" w:rsidRPr="00F06673" w:rsidRDefault="00FD1EE9" w:rsidP="002B71CE">
            <w:pPr>
              <w:spacing w:line="276" w:lineRule="auto"/>
              <w:ind w:left="174" w:hanging="229"/>
              <w:cnfStyle w:val="100000000000" w:firstRow="1" w:lastRow="0" w:firstColumn="0" w:lastColumn="0" w:oddVBand="0" w:evenVBand="0" w:oddHBand="0" w:evenHBand="0" w:firstRowFirstColumn="0" w:firstRowLastColumn="0" w:lastRowFirstColumn="0" w:lastRowLastColumn="0"/>
              <w:rPr>
                <w:rFonts w:eastAsia="Calibri"/>
                <w:sz w:val="22"/>
                <w:szCs w:val="22"/>
                <w:lang w:eastAsia="en-US"/>
              </w:rPr>
            </w:pPr>
            <w:r w:rsidRPr="00F06673">
              <w:rPr>
                <w:rFonts w:eastAsia="Calibri"/>
                <w:sz w:val="22"/>
                <w:szCs w:val="22"/>
                <w:lang w:eastAsia="en-US"/>
              </w:rPr>
              <w:t>UK90 BMI centile cut-offs</w:t>
            </w:r>
          </w:p>
        </w:tc>
      </w:tr>
      <w:tr w:rsidR="00FD1EE9" w:rsidRPr="00F06673" w14:paraId="0B9B7C74" w14:textId="77777777" w:rsidTr="002B71CE">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4961" w:type="dxa"/>
          </w:tcPr>
          <w:p w14:paraId="3B3380A5" w14:textId="77777777" w:rsidR="00FD1EE9" w:rsidRPr="00F06673" w:rsidRDefault="00FD1EE9" w:rsidP="002B71CE">
            <w:pPr>
              <w:spacing w:line="276" w:lineRule="auto"/>
              <w:ind w:left="166" w:hanging="229"/>
              <w:rPr>
                <w:rFonts w:eastAsia="Calibri"/>
                <w:b w:val="0"/>
                <w:sz w:val="22"/>
                <w:szCs w:val="22"/>
                <w:lang w:eastAsia="en-US"/>
              </w:rPr>
            </w:pPr>
            <w:r w:rsidRPr="00F06673">
              <w:rPr>
                <w:rFonts w:eastAsia="Calibri"/>
                <w:b w:val="0"/>
                <w:sz w:val="22"/>
                <w:szCs w:val="22"/>
                <w:lang w:eastAsia="en-US"/>
              </w:rPr>
              <w:t>Underweight</w:t>
            </w:r>
          </w:p>
        </w:tc>
        <w:tc>
          <w:tcPr>
            <w:tcW w:w="2972" w:type="dxa"/>
          </w:tcPr>
          <w:p w14:paraId="41DB0D56" w14:textId="77777777" w:rsidR="00FD1EE9" w:rsidRPr="00F06673" w:rsidRDefault="00FD1EE9" w:rsidP="002B71CE">
            <w:pPr>
              <w:spacing w:line="276" w:lineRule="auto"/>
              <w:ind w:left="174" w:hanging="229"/>
              <w:cnfStyle w:val="000000100000" w:firstRow="0" w:lastRow="0" w:firstColumn="0" w:lastColumn="0" w:oddVBand="0" w:evenVBand="0" w:oddHBand="1" w:evenHBand="0" w:firstRowFirstColumn="0" w:firstRowLastColumn="0" w:lastRowFirstColumn="0" w:lastRowLastColumn="0"/>
              <w:rPr>
                <w:rFonts w:eastAsia="Calibri"/>
                <w:sz w:val="22"/>
                <w:szCs w:val="22"/>
                <w:lang w:eastAsia="en-US"/>
              </w:rPr>
            </w:pPr>
            <w:r w:rsidRPr="00F06673">
              <w:rPr>
                <w:rFonts w:eastAsia="Calibri"/>
                <w:sz w:val="22"/>
                <w:szCs w:val="22"/>
                <w:lang w:eastAsia="en-US"/>
              </w:rPr>
              <w:t>≤2</w:t>
            </w:r>
            <w:r w:rsidRPr="00F06673">
              <w:rPr>
                <w:rFonts w:eastAsia="Calibri"/>
                <w:sz w:val="22"/>
                <w:szCs w:val="22"/>
                <w:vertAlign w:val="superscript"/>
                <w:lang w:eastAsia="en-US"/>
              </w:rPr>
              <w:t>nd</w:t>
            </w:r>
            <w:r w:rsidRPr="00F06673">
              <w:rPr>
                <w:rFonts w:eastAsia="Calibri"/>
                <w:sz w:val="22"/>
                <w:szCs w:val="22"/>
                <w:lang w:eastAsia="en-US"/>
              </w:rPr>
              <w:t xml:space="preserve"> centile</w:t>
            </w:r>
          </w:p>
        </w:tc>
      </w:tr>
      <w:tr w:rsidR="00FD1EE9" w:rsidRPr="00F06673" w14:paraId="6C1C933E" w14:textId="77777777" w:rsidTr="002B71CE">
        <w:trPr>
          <w:jc w:val="center"/>
        </w:trPr>
        <w:tc>
          <w:tcPr>
            <w:cnfStyle w:val="001000000000" w:firstRow="0" w:lastRow="0" w:firstColumn="1" w:lastColumn="0" w:oddVBand="0" w:evenVBand="0" w:oddHBand="0" w:evenHBand="0" w:firstRowFirstColumn="0" w:firstRowLastColumn="0" w:lastRowFirstColumn="0" w:lastRowLastColumn="0"/>
            <w:tcW w:w="4961" w:type="dxa"/>
          </w:tcPr>
          <w:p w14:paraId="67022A4E" w14:textId="77777777" w:rsidR="00FD1EE9" w:rsidRPr="00F06673" w:rsidRDefault="00FD1EE9" w:rsidP="002B71CE">
            <w:pPr>
              <w:spacing w:line="276" w:lineRule="auto"/>
              <w:ind w:left="166" w:hanging="229"/>
              <w:rPr>
                <w:rFonts w:eastAsia="Calibri"/>
                <w:b w:val="0"/>
                <w:sz w:val="22"/>
                <w:szCs w:val="22"/>
                <w:lang w:eastAsia="en-US"/>
              </w:rPr>
            </w:pPr>
            <w:r w:rsidRPr="00F06673">
              <w:rPr>
                <w:rFonts w:eastAsia="Calibri"/>
                <w:b w:val="0"/>
                <w:sz w:val="22"/>
                <w:szCs w:val="22"/>
                <w:lang w:eastAsia="en-US"/>
              </w:rPr>
              <w:t>Healthy weight</w:t>
            </w:r>
          </w:p>
        </w:tc>
        <w:tc>
          <w:tcPr>
            <w:tcW w:w="2972" w:type="dxa"/>
          </w:tcPr>
          <w:p w14:paraId="591DED11" w14:textId="77777777" w:rsidR="00FD1EE9" w:rsidRPr="00F06673" w:rsidRDefault="00FD1EE9" w:rsidP="002B71CE">
            <w:pPr>
              <w:spacing w:line="276" w:lineRule="auto"/>
              <w:ind w:left="174" w:hanging="229"/>
              <w:cnfStyle w:val="000000000000" w:firstRow="0" w:lastRow="0" w:firstColumn="0" w:lastColumn="0" w:oddVBand="0" w:evenVBand="0" w:oddHBand="0" w:evenHBand="0" w:firstRowFirstColumn="0" w:firstRowLastColumn="0" w:lastRowFirstColumn="0" w:lastRowLastColumn="0"/>
              <w:rPr>
                <w:rFonts w:eastAsia="Calibri"/>
                <w:sz w:val="22"/>
                <w:szCs w:val="22"/>
                <w:lang w:eastAsia="en-US"/>
              </w:rPr>
            </w:pPr>
            <w:r w:rsidRPr="00F06673">
              <w:rPr>
                <w:rFonts w:eastAsia="Calibri"/>
                <w:sz w:val="22"/>
                <w:szCs w:val="22"/>
                <w:lang w:eastAsia="en-US"/>
              </w:rPr>
              <w:t>&gt;2</w:t>
            </w:r>
            <w:r w:rsidRPr="00F06673">
              <w:rPr>
                <w:rFonts w:eastAsia="Calibri"/>
                <w:sz w:val="22"/>
                <w:szCs w:val="22"/>
                <w:vertAlign w:val="superscript"/>
                <w:lang w:eastAsia="en-US"/>
              </w:rPr>
              <w:t>nd</w:t>
            </w:r>
            <w:r w:rsidRPr="00F06673">
              <w:rPr>
                <w:rFonts w:eastAsia="Calibri"/>
                <w:sz w:val="22"/>
                <w:szCs w:val="22"/>
                <w:lang w:eastAsia="en-US"/>
              </w:rPr>
              <w:t xml:space="preserve"> to &lt;85</w:t>
            </w:r>
            <w:r w:rsidRPr="00F06673">
              <w:rPr>
                <w:rFonts w:eastAsia="Calibri"/>
                <w:sz w:val="22"/>
                <w:szCs w:val="22"/>
                <w:vertAlign w:val="superscript"/>
                <w:lang w:eastAsia="en-US"/>
              </w:rPr>
              <w:t>th</w:t>
            </w:r>
            <w:r w:rsidRPr="00F06673">
              <w:rPr>
                <w:rFonts w:eastAsia="Calibri"/>
                <w:sz w:val="22"/>
                <w:szCs w:val="22"/>
                <w:lang w:eastAsia="en-US"/>
              </w:rPr>
              <w:t xml:space="preserve"> centile</w:t>
            </w:r>
          </w:p>
        </w:tc>
      </w:tr>
      <w:tr w:rsidR="00FD1EE9" w:rsidRPr="00F06673" w14:paraId="10BF6D6E" w14:textId="77777777" w:rsidTr="002B71CE">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4961" w:type="dxa"/>
          </w:tcPr>
          <w:p w14:paraId="1F49AB36" w14:textId="77777777" w:rsidR="00FD1EE9" w:rsidRPr="00F06673" w:rsidRDefault="00FD1EE9" w:rsidP="002B71CE">
            <w:pPr>
              <w:spacing w:line="276" w:lineRule="auto"/>
              <w:ind w:left="166" w:hanging="229"/>
              <w:rPr>
                <w:rFonts w:eastAsia="Calibri"/>
                <w:b w:val="0"/>
                <w:sz w:val="22"/>
                <w:szCs w:val="22"/>
                <w:lang w:eastAsia="en-US"/>
              </w:rPr>
            </w:pPr>
            <w:r w:rsidRPr="00F06673">
              <w:rPr>
                <w:rFonts w:eastAsia="Calibri"/>
                <w:b w:val="0"/>
                <w:sz w:val="22"/>
                <w:szCs w:val="22"/>
                <w:lang w:eastAsia="en-US"/>
              </w:rPr>
              <w:t>Overweight</w:t>
            </w:r>
            <w:r>
              <w:rPr>
                <w:rFonts w:eastAsia="Calibri"/>
                <w:b w:val="0"/>
                <w:sz w:val="22"/>
                <w:szCs w:val="22"/>
                <w:lang w:eastAsia="en-US"/>
              </w:rPr>
              <w:t xml:space="preserve"> (including obesity)</w:t>
            </w:r>
          </w:p>
        </w:tc>
        <w:tc>
          <w:tcPr>
            <w:tcW w:w="2972" w:type="dxa"/>
          </w:tcPr>
          <w:p w14:paraId="6839E97E" w14:textId="77777777" w:rsidR="00FD1EE9" w:rsidRPr="00F06673" w:rsidRDefault="00FD1EE9" w:rsidP="002B71CE">
            <w:pPr>
              <w:spacing w:line="276" w:lineRule="auto"/>
              <w:ind w:left="174" w:hanging="229"/>
              <w:cnfStyle w:val="000000100000" w:firstRow="0" w:lastRow="0" w:firstColumn="0" w:lastColumn="0" w:oddVBand="0" w:evenVBand="0" w:oddHBand="1" w:evenHBand="0" w:firstRowFirstColumn="0" w:firstRowLastColumn="0" w:lastRowFirstColumn="0" w:lastRowLastColumn="0"/>
              <w:rPr>
                <w:rFonts w:eastAsia="Calibri"/>
                <w:sz w:val="22"/>
                <w:szCs w:val="22"/>
                <w:lang w:eastAsia="en-US"/>
              </w:rPr>
            </w:pPr>
            <w:r w:rsidRPr="00F06673">
              <w:rPr>
                <w:rFonts w:eastAsia="Calibri"/>
                <w:sz w:val="22"/>
                <w:szCs w:val="22"/>
                <w:lang w:eastAsia="en-US"/>
              </w:rPr>
              <w:t>≥85</w:t>
            </w:r>
            <w:r w:rsidRPr="00F06673">
              <w:rPr>
                <w:rFonts w:eastAsia="Calibri"/>
                <w:sz w:val="22"/>
                <w:szCs w:val="22"/>
                <w:vertAlign w:val="superscript"/>
                <w:lang w:eastAsia="en-US"/>
              </w:rPr>
              <w:t>th</w:t>
            </w:r>
            <w:r w:rsidRPr="00F06673">
              <w:rPr>
                <w:rFonts w:eastAsia="Calibri"/>
                <w:sz w:val="22"/>
                <w:szCs w:val="22"/>
                <w:lang w:eastAsia="en-US"/>
              </w:rPr>
              <w:t xml:space="preserve"> centile</w:t>
            </w:r>
          </w:p>
        </w:tc>
      </w:tr>
      <w:tr w:rsidR="00FD1EE9" w:rsidRPr="00F06673" w14:paraId="5EC55957" w14:textId="77777777" w:rsidTr="002B71CE">
        <w:trPr>
          <w:jc w:val="center"/>
        </w:trPr>
        <w:tc>
          <w:tcPr>
            <w:cnfStyle w:val="001000000000" w:firstRow="0" w:lastRow="0" w:firstColumn="1" w:lastColumn="0" w:oddVBand="0" w:evenVBand="0" w:oddHBand="0" w:evenHBand="0" w:firstRowFirstColumn="0" w:firstRowLastColumn="0" w:lastRowFirstColumn="0" w:lastRowLastColumn="0"/>
            <w:tcW w:w="4961" w:type="dxa"/>
          </w:tcPr>
          <w:p w14:paraId="1AD5C298" w14:textId="77777777" w:rsidR="00FD1EE9" w:rsidRPr="00F06673" w:rsidRDefault="00FD1EE9" w:rsidP="002B71CE">
            <w:pPr>
              <w:spacing w:line="276" w:lineRule="auto"/>
              <w:ind w:left="166" w:hanging="229"/>
              <w:rPr>
                <w:rFonts w:eastAsia="Calibri"/>
                <w:b w:val="0"/>
                <w:sz w:val="22"/>
                <w:szCs w:val="22"/>
                <w:lang w:eastAsia="en-US"/>
              </w:rPr>
            </w:pPr>
            <w:r w:rsidRPr="00F06673">
              <w:rPr>
                <w:rFonts w:eastAsia="Calibri"/>
                <w:b w:val="0"/>
                <w:sz w:val="22"/>
                <w:szCs w:val="22"/>
                <w:lang w:eastAsia="en-US"/>
              </w:rPr>
              <w:t>Obesity</w:t>
            </w:r>
            <w:r>
              <w:rPr>
                <w:rFonts w:eastAsia="Calibri"/>
                <w:b w:val="0"/>
                <w:sz w:val="22"/>
                <w:szCs w:val="22"/>
                <w:lang w:eastAsia="en-US"/>
              </w:rPr>
              <w:t xml:space="preserve"> (including severe obesity)</w:t>
            </w:r>
          </w:p>
        </w:tc>
        <w:tc>
          <w:tcPr>
            <w:tcW w:w="2972" w:type="dxa"/>
          </w:tcPr>
          <w:p w14:paraId="15970C73" w14:textId="77777777" w:rsidR="00FD1EE9" w:rsidRPr="00F06673" w:rsidRDefault="00FD1EE9" w:rsidP="002B71CE">
            <w:pPr>
              <w:spacing w:line="276" w:lineRule="auto"/>
              <w:ind w:left="174" w:hanging="229"/>
              <w:cnfStyle w:val="000000000000" w:firstRow="0" w:lastRow="0" w:firstColumn="0" w:lastColumn="0" w:oddVBand="0" w:evenVBand="0" w:oddHBand="0" w:evenHBand="0" w:firstRowFirstColumn="0" w:firstRowLastColumn="0" w:lastRowFirstColumn="0" w:lastRowLastColumn="0"/>
              <w:rPr>
                <w:rFonts w:eastAsia="Calibri"/>
                <w:sz w:val="22"/>
                <w:szCs w:val="22"/>
                <w:lang w:eastAsia="en-US"/>
              </w:rPr>
            </w:pPr>
            <w:r w:rsidRPr="00F06673">
              <w:rPr>
                <w:rFonts w:eastAsia="Calibri"/>
                <w:sz w:val="22"/>
                <w:szCs w:val="22"/>
                <w:lang w:eastAsia="en-US"/>
              </w:rPr>
              <w:t>≥95</w:t>
            </w:r>
            <w:r w:rsidRPr="00F06673">
              <w:rPr>
                <w:rFonts w:eastAsia="Calibri"/>
                <w:sz w:val="22"/>
                <w:szCs w:val="22"/>
                <w:vertAlign w:val="superscript"/>
                <w:lang w:eastAsia="en-US"/>
              </w:rPr>
              <w:t>th</w:t>
            </w:r>
            <w:r w:rsidRPr="00F06673">
              <w:rPr>
                <w:rFonts w:eastAsia="Calibri"/>
                <w:sz w:val="22"/>
                <w:szCs w:val="22"/>
                <w:lang w:eastAsia="en-US"/>
              </w:rPr>
              <w:t xml:space="preserve"> centile</w:t>
            </w:r>
          </w:p>
        </w:tc>
      </w:tr>
      <w:tr w:rsidR="00FD1EE9" w:rsidRPr="00F06673" w14:paraId="517061FD" w14:textId="77777777" w:rsidTr="002B71CE">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4961" w:type="dxa"/>
          </w:tcPr>
          <w:p w14:paraId="540135F9" w14:textId="77777777" w:rsidR="00FD1EE9" w:rsidRPr="00F06673" w:rsidRDefault="00FD1EE9" w:rsidP="002B71CE">
            <w:pPr>
              <w:spacing w:line="276" w:lineRule="auto"/>
              <w:ind w:left="166" w:hanging="229"/>
              <w:rPr>
                <w:rFonts w:eastAsia="Calibri"/>
                <w:b w:val="0"/>
                <w:sz w:val="22"/>
                <w:szCs w:val="22"/>
                <w:lang w:eastAsia="en-US"/>
              </w:rPr>
            </w:pPr>
            <w:r w:rsidRPr="00F06673">
              <w:rPr>
                <w:rFonts w:eastAsia="Calibri"/>
                <w:b w:val="0"/>
                <w:sz w:val="22"/>
                <w:szCs w:val="22"/>
                <w:lang w:eastAsia="en-US"/>
              </w:rPr>
              <w:t>Severe obesity</w:t>
            </w:r>
          </w:p>
        </w:tc>
        <w:tc>
          <w:tcPr>
            <w:tcW w:w="2972" w:type="dxa"/>
          </w:tcPr>
          <w:p w14:paraId="4D80635A" w14:textId="77777777" w:rsidR="00FD1EE9" w:rsidRPr="00F06673" w:rsidRDefault="00FD1EE9" w:rsidP="002B71CE">
            <w:pPr>
              <w:spacing w:line="276" w:lineRule="auto"/>
              <w:ind w:left="174" w:hanging="229"/>
              <w:cnfStyle w:val="000000100000" w:firstRow="0" w:lastRow="0" w:firstColumn="0" w:lastColumn="0" w:oddVBand="0" w:evenVBand="0" w:oddHBand="1" w:evenHBand="0" w:firstRowFirstColumn="0" w:firstRowLastColumn="0" w:lastRowFirstColumn="0" w:lastRowLastColumn="0"/>
              <w:rPr>
                <w:rFonts w:eastAsia="Calibri"/>
                <w:sz w:val="22"/>
                <w:szCs w:val="22"/>
                <w:lang w:eastAsia="en-US"/>
              </w:rPr>
            </w:pPr>
            <w:r w:rsidRPr="00F06673">
              <w:rPr>
                <w:rFonts w:eastAsia="Calibri"/>
                <w:sz w:val="22"/>
                <w:szCs w:val="22"/>
                <w:lang w:eastAsia="en-US"/>
              </w:rPr>
              <w:t>≥99.6</w:t>
            </w:r>
            <w:r w:rsidRPr="00F06673">
              <w:rPr>
                <w:rFonts w:eastAsia="Calibri"/>
                <w:sz w:val="22"/>
                <w:szCs w:val="22"/>
                <w:vertAlign w:val="superscript"/>
                <w:lang w:eastAsia="en-US"/>
              </w:rPr>
              <w:t>th</w:t>
            </w:r>
            <w:r w:rsidRPr="00F06673">
              <w:rPr>
                <w:rFonts w:eastAsia="Calibri"/>
                <w:sz w:val="22"/>
                <w:szCs w:val="22"/>
                <w:lang w:eastAsia="en-US"/>
              </w:rPr>
              <w:t xml:space="preserve"> centile</w:t>
            </w:r>
          </w:p>
        </w:tc>
      </w:tr>
    </w:tbl>
    <w:p w14:paraId="5F6C0F22" w14:textId="77777777" w:rsidR="00FD1EE9" w:rsidRPr="00F06673" w:rsidRDefault="00FD1EE9" w:rsidP="00FD1EE9">
      <w:pPr>
        <w:spacing w:line="276" w:lineRule="auto"/>
        <w:ind w:left="567" w:hanging="229"/>
        <w:rPr>
          <w:rFonts w:eastAsia="Calibri"/>
          <w:sz w:val="22"/>
          <w:szCs w:val="22"/>
        </w:rPr>
      </w:pPr>
    </w:p>
    <w:p w14:paraId="4F8D7E97" w14:textId="77777777" w:rsidR="00FD1EE9" w:rsidRDefault="00FD1EE9" w:rsidP="00FD1EE9">
      <w:pPr>
        <w:spacing w:before="120" w:after="0" w:line="276" w:lineRule="auto"/>
        <w:rPr>
          <w:rFonts w:eastAsia="Calibri"/>
          <w:sz w:val="22"/>
          <w:szCs w:val="22"/>
        </w:rPr>
      </w:pPr>
      <w:r w:rsidRPr="00F06673">
        <w:rPr>
          <w:rFonts w:eastAsia="Calibri"/>
          <w:sz w:val="22"/>
          <w:szCs w:val="22"/>
        </w:rPr>
        <w:t>Through the NCMP, reception (age 4-5 years) and year 6 (age 10-11 years) children have their height and weight measured in state schools across England – usually over a million children participate every year with measurements taking place in over 17,000 schools. In 202</w:t>
      </w:r>
      <w:r>
        <w:rPr>
          <w:rFonts w:eastAsia="Calibri"/>
          <w:sz w:val="22"/>
          <w:szCs w:val="22"/>
        </w:rPr>
        <w:t>4 to 20</w:t>
      </w:r>
      <w:r w:rsidRPr="00F06673">
        <w:rPr>
          <w:rFonts w:eastAsia="Calibri"/>
          <w:sz w:val="22"/>
          <w:szCs w:val="22"/>
        </w:rPr>
        <w:t>2</w:t>
      </w:r>
      <w:r>
        <w:rPr>
          <w:rFonts w:eastAsia="Calibri"/>
          <w:sz w:val="22"/>
          <w:szCs w:val="22"/>
        </w:rPr>
        <w:t>5</w:t>
      </w:r>
      <w:r w:rsidRPr="00F06673">
        <w:rPr>
          <w:rFonts w:eastAsia="Calibri"/>
          <w:sz w:val="22"/>
          <w:szCs w:val="22"/>
        </w:rPr>
        <w:t xml:space="preserve">, </w:t>
      </w:r>
      <w:r>
        <w:rPr>
          <w:rFonts w:eastAsia="Calibri"/>
          <w:sz w:val="22"/>
          <w:szCs w:val="22"/>
        </w:rPr>
        <w:t>94.1</w:t>
      </w:r>
      <w:r w:rsidRPr="00F06673">
        <w:rPr>
          <w:rFonts w:eastAsia="Calibri"/>
          <w:sz w:val="22"/>
          <w:szCs w:val="22"/>
        </w:rPr>
        <w:t>% (</w:t>
      </w:r>
      <w:r w:rsidRPr="00F06673">
        <w:rPr>
          <w:rFonts w:eastAsia="Calibri"/>
          <w:color w:val="242424"/>
          <w:sz w:val="22"/>
          <w:szCs w:val="22"/>
          <w:shd w:val="clear" w:color="auto" w:fill="FFFFFF"/>
        </w:rPr>
        <w:t>1,1</w:t>
      </w:r>
      <w:r>
        <w:rPr>
          <w:rFonts w:eastAsia="Calibri"/>
          <w:color w:val="242424"/>
          <w:sz w:val="22"/>
          <w:szCs w:val="22"/>
          <w:shd w:val="clear" w:color="auto" w:fill="FFFFFF"/>
        </w:rPr>
        <w:t>45</w:t>
      </w:r>
      <w:r w:rsidRPr="00F06673">
        <w:rPr>
          <w:rFonts w:eastAsia="Calibri"/>
          <w:color w:val="242424"/>
          <w:sz w:val="22"/>
          <w:szCs w:val="22"/>
          <w:shd w:val="clear" w:color="auto" w:fill="FFFFFF"/>
        </w:rPr>
        <w:t>,</w:t>
      </w:r>
      <w:r>
        <w:rPr>
          <w:rFonts w:eastAsia="Calibri"/>
          <w:color w:val="242424"/>
          <w:sz w:val="22"/>
          <w:szCs w:val="22"/>
          <w:shd w:val="clear" w:color="auto" w:fill="FFFFFF"/>
        </w:rPr>
        <w:t>893</w:t>
      </w:r>
      <w:r w:rsidRPr="00F06673">
        <w:rPr>
          <w:rFonts w:eastAsia="Calibri"/>
          <w:color w:val="242424"/>
          <w:sz w:val="22"/>
          <w:szCs w:val="22"/>
          <w:shd w:val="clear" w:color="auto" w:fill="FFFFFF"/>
        </w:rPr>
        <w:t>)</w:t>
      </w:r>
      <w:r w:rsidRPr="00F06673">
        <w:rPr>
          <w:rFonts w:eastAsia="Calibri"/>
          <w:sz w:val="22"/>
          <w:szCs w:val="22"/>
        </w:rPr>
        <w:t xml:space="preserve"> of all eligible children were measured. This</w:t>
      </w:r>
      <w:r>
        <w:rPr>
          <w:rFonts w:eastAsia="Calibri"/>
          <w:sz w:val="22"/>
          <w:szCs w:val="22"/>
        </w:rPr>
        <w:t xml:space="preserve"> level of</w:t>
      </w:r>
      <w:r w:rsidRPr="00F06673">
        <w:rPr>
          <w:rFonts w:eastAsia="Calibri"/>
          <w:sz w:val="22"/>
          <w:szCs w:val="22"/>
        </w:rPr>
        <w:t xml:space="preserve"> participation is slightly higher than 202</w:t>
      </w:r>
      <w:r>
        <w:rPr>
          <w:rFonts w:eastAsia="Calibri"/>
          <w:sz w:val="22"/>
          <w:szCs w:val="22"/>
        </w:rPr>
        <w:t>3 to 20</w:t>
      </w:r>
      <w:r w:rsidRPr="00F06673">
        <w:rPr>
          <w:rFonts w:eastAsia="Calibri"/>
          <w:sz w:val="22"/>
          <w:szCs w:val="22"/>
        </w:rPr>
        <w:t>2</w:t>
      </w:r>
      <w:r>
        <w:rPr>
          <w:rFonts w:eastAsia="Calibri"/>
          <w:sz w:val="22"/>
          <w:szCs w:val="22"/>
        </w:rPr>
        <w:t>4</w:t>
      </w:r>
      <w:r w:rsidRPr="00F06673">
        <w:rPr>
          <w:rFonts w:eastAsia="Calibri"/>
          <w:sz w:val="22"/>
          <w:szCs w:val="22"/>
        </w:rPr>
        <w:t xml:space="preserve"> (93.</w:t>
      </w:r>
      <w:r>
        <w:rPr>
          <w:rFonts w:eastAsia="Calibri"/>
          <w:sz w:val="22"/>
          <w:szCs w:val="22"/>
        </w:rPr>
        <w:t>6</w:t>
      </w:r>
      <w:r w:rsidRPr="00F06673">
        <w:rPr>
          <w:rFonts w:eastAsia="Calibri"/>
          <w:sz w:val="22"/>
          <w:szCs w:val="22"/>
        </w:rPr>
        <w:t>%), but still</w:t>
      </w:r>
      <w:r>
        <w:rPr>
          <w:rFonts w:eastAsia="Calibri"/>
          <w:sz w:val="22"/>
          <w:szCs w:val="22"/>
        </w:rPr>
        <w:t xml:space="preserve"> slightly</w:t>
      </w:r>
      <w:r w:rsidRPr="00F06673">
        <w:rPr>
          <w:rFonts w:eastAsia="Calibri"/>
          <w:sz w:val="22"/>
          <w:szCs w:val="22"/>
        </w:rPr>
        <w:t xml:space="preserve"> lower than the pre-pandemic </w:t>
      </w:r>
      <w:r>
        <w:rPr>
          <w:rFonts w:eastAsia="Calibri"/>
          <w:sz w:val="22"/>
          <w:szCs w:val="22"/>
        </w:rPr>
        <w:t>values</w:t>
      </w:r>
      <w:r w:rsidRPr="00F06673">
        <w:rPr>
          <w:rFonts w:eastAsia="Calibri"/>
          <w:sz w:val="22"/>
          <w:szCs w:val="22"/>
        </w:rPr>
        <w:t xml:space="preserve"> of around 95%.</w:t>
      </w:r>
    </w:p>
    <w:p w14:paraId="023E4EA3" w14:textId="77777777" w:rsidR="00383508" w:rsidRDefault="00383508" w:rsidP="00FD1EE9">
      <w:pPr>
        <w:spacing w:before="120" w:after="0" w:line="276" w:lineRule="auto"/>
        <w:rPr>
          <w:rFonts w:eastAsia="Calibri"/>
          <w:sz w:val="22"/>
          <w:szCs w:val="22"/>
        </w:rPr>
      </w:pPr>
    </w:p>
    <w:p w14:paraId="2B5B6648" w14:textId="77777777" w:rsidR="00FD1EE9" w:rsidRPr="00FD1EE9" w:rsidRDefault="00FD1EE9" w:rsidP="00FD1EE9">
      <w:pPr>
        <w:spacing w:before="120" w:after="0" w:line="276" w:lineRule="auto"/>
        <w:rPr>
          <w:rFonts w:eastAsia="Calibri"/>
          <w:sz w:val="22"/>
          <w:szCs w:val="22"/>
        </w:rPr>
      </w:pPr>
    </w:p>
    <w:p w14:paraId="6C6FB24C" w14:textId="77777777" w:rsidR="004A5501" w:rsidRPr="00171242" w:rsidRDefault="004A5501" w:rsidP="00545D2A">
      <w:pPr>
        <w:pStyle w:val="Heading2"/>
      </w:pPr>
      <w:r>
        <w:lastRenderedPageBreak/>
        <w:t>Contacts</w:t>
      </w:r>
    </w:p>
    <w:p w14:paraId="1417EBCC" w14:textId="77777777" w:rsidR="00D042E7" w:rsidRPr="00DB3297" w:rsidRDefault="00A30525" w:rsidP="00171242">
      <w:hyperlink r:id="rId14" w:history="1">
        <w:r w:rsidR="00B655C2" w:rsidRPr="00C566AD">
          <w:rPr>
            <w:rStyle w:val="Hyperlink"/>
          </w:rPr>
          <w:t>caroline.hancock@dhsc.gov.uk</w:t>
        </w:r>
      </w:hyperlink>
      <w:r w:rsidR="00FD1EE9">
        <w:t xml:space="preserve"> and </w:t>
      </w:r>
      <w:hyperlink r:id="rId15" w:history="1">
        <w:r w:rsidR="00FD1EE9" w:rsidRPr="00C566AD">
          <w:rPr>
            <w:rStyle w:val="Hyperlink"/>
          </w:rPr>
          <w:t>catherine.bray@dhsc.gov.uk</w:t>
        </w:r>
      </w:hyperlink>
      <w:r w:rsidR="00FD1EE9">
        <w:t xml:space="preserve"> </w:t>
      </w:r>
    </w:p>
    <w:sectPr w:rsidR="00D042E7" w:rsidRPr="00DB3297" w:rsidSect="001D0152">
      <w:headerReference w:type="even" r:id="rId16"/>
      <w:headerReference w:type="default" r:id="rId17"/>
      <w:footerReference w:type="even" r:id="rId18"/>
      <w:footerReference w:type="default" r:id="rId19"/>
      <w:headerReference w:type="first" r:id="rId20"/>
      <w:footerReference w:type="first" r:id="rId21"/>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C0EDE58" w14:textId="77777777" w:rsidR="00A30525" w:rsidRDefault="00A30525" w:rsidP="00171242">
      <w:r>
        <w:separator/>
      </w:r>
    </w:p>
  </w:endnote>
  <w:endnote w:type="continuationSeparator" w:id="0">
    <w:p w14:paraId="707318F1" w14:textId="77777777" w:rsidR="00A30525" w:rsidRDefault="00A30525" w:rsidP="001712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FBE2A7" w14:textId="17391885" w:rsidR="00A30525" w:rsidRDefault="00A30525">
    <w:pPr>
      <w:pStyle w:val="Footer"/>
    </w:pPr>
    <w:r>
      <w:rPr>
        <w:noProof/>
      </w:rPr>
      <mc:AlternateContent>
        <mc:Choice Requires="wps">
          <w:drawing>
            <wp:anchor distT="0" distB="0" distL="0" distR="0" simplePos="0" relativeHeight="251661312" behindDoc="0" locked="0" layoutInCell="1" allowOverlap="1" wp14:anchorId="046E64D0" wp14:editId="5D25EC00">
              <wp:simplePos x="635" y="635"/>
              <wp:positionH relativeFrom="page">
                <wp:align>center</wp:align>
              </wp:positionH>
              <wp:positionV relativeFrom="page">
                <wp:align>bottom</wp:align>
              </wp:positionV>
              <wp:extent cx="459740" cy="357505"/>
              <wp:effectExtent l="0" t="0" r="16510" b="0"/>
              <wp:wrapNone/>
              <wp:docPr id="367347963" name="Text Box 2"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59740" cy="357505"/>
                      </a:xfrm>
                      <a:prstGeom prst="rect">
                        <a:avLst/>
                      </a:prstGeom>
                      <a:noFill/>
                      <a:ln>
                        <a:noFill/>
                      </a:ln>
                    </wps:spPr>
                    <wps:txbx>
                      <w:txbxContent>
                        <w:p w14:paraId="0D9EA260" w14:textId="19C7F5AC" w:rsidR="00A30525" w:rsidRPr="00A30525" w:rsidRDefault="00A30525" w:rsidP="00A30525">
                          <w:pPr>
                            <w:spacing w:after="0"/>
                            <w:rPr>
                              <w:rFonts w:ascii="Calibri" w:eastAsia="Calibri" w:hAnsi="Calibri" w:cs="Calibri"/>
                              <w:noProof/>
                              <w:color w:val="FF0000"/>
                              <w:sz w:val="20"/>
                              <w:szCs w:val="20"/>
                            </w:rPr>
                          </w:pPr>
                          <w:r w:rsidRPr="00A30525">
                            <w:rPr>
                              <w:rFonts w:ascii="Calibri" w:eastAsia="Calibri" w:hAnsi="Calibri" w:cs="Calibri"/>
                              <w:noProof/>
                              <w:color w:val="FF0000"/>
                              <w:sz w:val="20"/>
                              <w:szCs w:val="20"/>
                            </w:rPr>
                            <w:t>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046E64D0" id="_x0000_t202" coordsize="21600,21600" o:spt="202" path="m,l,21600r21600,l21600,xe">
              <v:stroke joinstyle="miter"/>
              <v:path gradientshapeok="t" o:connecttype="rect"/>
            </v:shapetype>
            <v:shape id="_x0000_s1027" type="#_x0000_t202" alt="OFFICIAL" style="position:absolute;margin-left:0;margin-top:0;width:36.2pt;height:28.15pt;z-index:251661312;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" filled="f" stroked="f">
              <v:fill o:detectmouseclick="t"/>
              <v:textbox style="mso-fit-shape-to-text:t" inset="0,0,0,15pt">
                <w:txbxContent>
                  <w:p w14:paraId="0D9EA260" w14:textId="19C7F5AC" w:rsidR="00A30525" w:rsidRPr="00A30525" w:rsidRDefault="00A30525" w:rsidP="00A30525">
                    <w:pPr>
                      <w:spacing w:after="0"/>
                      <w:rPr>
                        <w:rFonts w:ascii="Calibri" w:eastAsia="Calibri" w:hAnsi="Calibri" w:cs="Calibri"/>
                        <w:noProof/>
                        <w:color w:val="FF0000"/>
                        <w:sz w:val="20"/>
                        <w:szCs w:val="20"/>
                      </w:rPr>
                    </w:pPr>
                    <w:r w:rsidRPr="00A30525">
                      <w:rPr>
                        <w:rFonts w:ascii="Calibri" w:eastAsia="Calibri" w:hAnsi="Calibri" w:cs="Calibri"/>
                        <w:noProof/>
                        <w:color w:val="FF0000"/>
                        <w:sz w:val="20"/>
                        <w:szCs w:val="20"/>
                      </w:rPr>
                      <w:t>OFFICIAL</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EB5E61" w14:textId="0EA298AD" w:rsidR="002831C7" w:rsidRDefault="00A30525">
    <w:pPr>
      <w:pStyle w:val="Footer"/>
      <w:jc w:val="center"/>
    </w:pPr>
    <w:r>
      <w:rPr>
        <w:noProof/>
      </w:rPr>
      <mc:AlternateContent>
        <mc:Choice Requires="wps">
          <w:drawing>
            <wp:anchor distT="0" distB="0" distL="0" distR="0" simplePos="0" relativeHeight="251662336" behindDoc="0" locked="0" layoutInCell="1" allowOverlap="1" wp14:anchorId="0EC7D661" wp14:editId="6A02C3B8">
              <wp:simplePos x="915035" y="9892665"/>
              <wp:positionH relativeFrom="page">
                <wp:align>center</wp:align>
              </wp:positionH>
              <wp:positionV relativeFrom="page">
                <wp:align>bottom</wp:align>
              </wp:positionV>
              <wp:extent cx="459740" cy="357505"/>
              <wp:effectExtent l="0" t="0" r="16510" b="0"/>
              <wp:wrapNone/>
              <wp:docPr id="106737420" name="Text Box 3"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59740" cy="357505"/>
                      </a:xfrm>
                      <a:prstGeom prst="rect">
                        <a:avLst/>
                      </a:prstGeom>
                      <a:noFill/>
                      <a:ln>
                        <a:noFill/>
                      </a:ln>
                    </wps:spPr>
                    <wps:txbx>
                      <w:txbxContent>
                        <w:p w14:paraId="1BBE27F4" w14:textId="690F6FDD" w:rsidR="00A30525" w:rsidRPr="00A30525" w:rsidRDefault="00A30525" w:rsidP="00A30525">
                          <w:pPr>
                            <w:spacing w:after="0"/>
                            <w:rPr>
                              <w:rFonts w:ascii="Calibri" w:eastAsia="Calibri" w:hAnsi="Calibri" w:cs="Calibri"/>
                              <w:noProof/>
                              <w:color w:val="FF0000"/>
                              <w:sz w:val="20"/>
                              <w:szCs w:val="20"/>
                            </w:rPr>
                          </w:pPr>
                          <w:r w:rsidRPr="00A30525">
                            <w:rPr>
                              <w:rFonts w:ascii="Calibri" w:eastAsia="Calibri" w:hAnsi="Calibri" w:cs="Calibri"/>
                              <w:noProof/>
                              <w:color w:val="FF0000"/>
                              <w:sz w:val="20"/>
                              <w:szCs w:val="20"/>
                            </w:rPr>
                            <w:t>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0EC7D661" id="_x0000_t202" coordsize="21600,21600" o:spt="202" path="m,l,21600r21600,l21600,xe">
              <v:stroke joinstyle="miter"/>
              <v:path gradientshapeok="t" o:connecttype="rect"/>
            </v:shapetype>
            <v:shape id="Text Box 3" o:spid="_x0000_s1028" type="#_x0000_t202" alt="OFFICIAL" style="position:absolute;left:0;text-align:left;margin-left:0;margin-top:0;width:36.2pt;height:28.15pt;z-index:251662336;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" filled="f" stroked="f">
              <v:fill o:detectmouseclick="t"/>
              <v:textbox style="mso-fit-shape-to-text:t" inset="0,0,0,15pt">
                <w:txbxContent>
                  <w:p w14:paraId="1BBE27F4" w14:textId="690F6FDD" w:rsidR="00A30525" w:rsidRPr="00A30525" w:rsidRDefault="00A30525" w:rsidP="00A30525">
                    <w:pPr>
                      <w:spacing w:after="0"/>
                      <w:rPr>
                        <w:rFonts w:ascii="Calibri" w:eastAsia="Calibri" w:hAnsi="Calibri" w:cs="Calibri"/>
                        <w:noProof/>
                        <w:color w:val="FF0000"/>
                        <w:sz w:val="20"/>
                        <w:szCs w:val="20"/>
                      </w:rPr>
                    </w:pPr>
                    <w:r w:rsidRPr="00A30525">
                      <w:rPr>
                        <w:rFonts w:ascii="Calibri" w:eastAsia="Calibri" w:hAnsi="Calibri" w:cs="Calibri"/>
                        <w:noProof/>
                        <w:color w:val="FF0000"/>
                        <w:sz w:val="20"/>
                        <w:szCs w:val="20"/>
                      </w:rPr>
                      <w:t>OFFICIAL</w:t>
                    </w:r>
                  </w:p>
                </w:txbxContent>
              </v:textbox>
              <w10:wrap anchorx="page" anchory="page"/>
            </v:shape>
          </w:pict>
        </mc:Fallback>
      </mc:AlternateContent>
    </w:r>
    <w:sdt>
      <w:sdtPr>
        <w:id w:val="-792586869"/>
        <w:docPartObj>
          <w:docPartGallery w:val="Page Numbers (Bottom of Page)"/>
          <w:docPartUnique/>
        </w:docPartObj>
      </w:sdtPr>
      <w:sdtEndPr/>
      <w:sdtContent>
        <w:r w:rsidR="002831C7">
          <w:t>[</w:t>
        </w:r>
        <w:r w:rsidR="002831C7">
          <w:fldChar w:fldCharType="begin"/>
        </w:r>
        <w:r w:rsidR="002831C7">
          <w:instrText xml:space="preserve"> PAGE   \* MERGEFORMAT </w:instrText>
        </w:r>
        <w:r w:rsidR="002831C7">
          <w:fldChar w:fldCharType="separate"/>
        </w:r>
        <w:r w:rsidR="002831C7">
          <w:rPr>
            <w:noProof/>
          </w:rPr>
          <w:t>2</w:t>
        </w:r>
        <w:r w:rsidR="002831C7">
          <w:rPr>
            <w:noProof/>
          </w:rPr>
          <w:fldChar w:fldCharType="end"/>
        </w:r>
        <w:r w:rsidR="002831C7">
          <w:t>]</w:t>
        </w:r>
      </w:sdtContent>
    </w:sdt>
  </w:p>
  <w:p w14:paraId="5A908E65" w14:textId="77777777" w:rsidR="00D72AFF" w:rsidRDefault="00D72AFF" w:rsidP="0017124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CA1AE1" w14:textId="426217A8" w:rsidR="002831C7" w:rsidRDefault="00A30525">
    <w:pPr>
      <w:pStyle w:val="Footer"/>
      <w:jc w:val="center"/>
    </w:pPr>
    <w:r>
      <w:rPr>
        <w:noProof/>
      </w:rPr>
      <mc:AlternateContent>
        <mc:Choice Requires="wps">
          <w:drawing>
            <wp:anchor distT="0" distB="0" distL="0" distR="0" simplePos="0" relativeHeight="251660288" behindDoc="0" locked="0" layoutInCell="1" allowOverlap="1" wp14:anchorId="483260D2" wp14:editId="095A1200">
              <wp:simplePos x="914400" y="9893300"/>
              <wp:positionH relativeFrom="page">
                <wp:align>center</wp:align>
              </wp:positionH>
              <wp:positionV relativeFrom="page">
                <wp:align>bottom</wp:align>
              </wp:positionV>
              <wp:extent cx="459740" cy="357505"/>
              <wp:effectExtent l="0" t="0" r="16510" b="0"/>
              <wp:wrapNone/>
              <wp:docPr id="1716134288" name="Text Box 1"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59740" cy="357505"/>
                      </a:xfrm>
                      <a:prstGeom prst="rect">
                        <a:avLst/>
                      </a:prstGeom>
                      <a:noFill/>
                      <a:ln>
                        <a:noFill/>
                      </a:ln>
                    </wps:spPr>
                    <wps:txbx>
                      <w:txbxContent>
                        <w:p w14:paraId="0C3FFA1F" w14:textId="0D6B2798" w:rsidR="00A30525" w:rsidRPr="00A30525" w:rsidRDefault="00A30525" w:rsidP="00A30525">
                          <w:pPr>
                            <w:spacing w:after="0"/>
                            <w:rPr>
                              <w:rFonts w:ascii="Calibri" w:eastAsia="Calibri" w:hAnsi="Calibri" w:cs="Calibri"/>
                              <w:noProof/>
                              <w:color w:val="FF0000"/>
                              <w:sz w:val="20"/>
                              <w:szCs w:val="20"/>
                            </w:rPr>
                          </w:pPr>
                          <w:r w:rsidRPr="00A30525">
                            <w:rPr>
                              <w:rFonts w:ascii="Calibri" w:eastAsia="Calibri" w:hAnsi="Calibri" w:cs="Calibri"/>
                              <w:noProof/>
                              <w:color w:val="FF0000"/>
                              <w:sz w:val="20"/>
                              <w:szCs w:val="20"/>
                            </w:rPr>
                            <w:t>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483260D2" id="_x0000_t202" coordsize="21600,21600" o:spt="202" path="m,l,21600r21600,l21600,xe">
              <v:stroke joinstyle="miter"/>
              <v:path gradientshapeok="t" o:connecttype="rect"/>
            </v:shapetype>
            <v:shape id="Text Box 1" o:spid="_x0000_s1029" type="#_x0000_t202" alt="OFFICIAL" style="position:absolute;left:0;text-align:left;margin-left:0;margin-top:0;width:36.2pt;height:28.15pt;z-index:251660288;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" filled="f" stroked="f">
              <v:fill o:detectmouseclick="t"/>
              <v:textbox style="mso-fit-shape-to-text:t" inset="0,0,0,15pt">
                <w:txbxContent>
                  <w:p w14:paraId="0C3FFA1F" w14:textId="0D6B2798" w:rsidR="00A30525" w:rsidRPr="00A30525" w:rsidRDefault="00A30525" w:rsidP="00A30525">
                    <w:pPr>
                      <w:spacing w:after="0"/>
                      <w:rPr>
                        <w:rFonts w:ascii="Calibri" w:eastAsia="Calibri" w:hAnsi="Calibri" w:cs="Calibri"/>
                        <w:noProof/>
                        <w:color w:val="FF0000"/>
                        <w:sz w:val="20"/>
                        <w:szCs w:val="20"/>
                      </w:rPr>
                    </w:pPr>
                    <w:r w:rsidRPr="00A30525">
                      <w:rPr>
                        <w:rFonts w:ascii="Calibri" w:eastAsia="Calibri" w:hAnsi="Calibri" w:cs="Calibri"/>
                        <w:noProof/>
                        <w:color w:val="FF0000"/>
                        <w:sz w:val="20"/>
                        <w:szCs w:val="20"/>
                      </w:rPr>
                      <w:t>OFFICIAL</w:t>
                    </w:r>
                  </w:p>
                </w:txbxContent>
              </v:textbox>
              <w10:wrap anchorx="page" anchory="page"/>
            </v:shape>
          </w:pict>
        </mc:Fallback>
      </mc:AlternateContent>
    </w:r>
    <w:sdt>
      <w:sdtPr>
        <w:id w:val="54676428"/>
        <w:docPartObj>
          <w:docPartGallery w:val="Page Numbers (Bottom of Page)"/>
          <w:docPartUnique/>
        </w:docPartObj>
      </w:sdtPr>
      <w:sdtEndPr/>
      <w:sdtContent>
        <w:r w:rsidR="002831C7">
          <w:t>[</w:t>
        </w:r>
        <w:r w:rsidR="002831C7">
          <w:fldChar w:fldCharType="begin"/>
        </w:r>
        <w:r w:rsidR="002831C7">
          <w:instrText xml:space="preserve"> PAGE   \* MERGEFORMAT </w:instrText>
        </w:r>
        <w:r w:rsidR="002831C7">
          <w:fldChar w:fldCharType="separate"/>
        </w:r>
        <w:r w:rsidR="002831C7">
          <w:rPr>
            <w:noProof/>
          </w:rPr>
          <w:t>2</w:t>
        </w:r>
        <w:r w:rsidR="002831C7">
          <w:rPr>
            <w:noProof/>
          </w:rPr>
          <w:fldChar w:fldCharType="end"/>
        </w:r>
        <w:r w:rsidR="002831C7">
          <w:t>]</w:t>
        </w:r>
      </w:sdtContent>
    </w:sdt>
  </w:p>
  <w:p w14:paraId="3D75F62A" w14:textId="77777777" w:rsidR="00E5715C" w:rsidRPr="002831C7" w:rsidRDefault="00E5715C" w:rsidP="002831C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C3D0AB3" w14:textId="77777777" w:rsidR="00A30525" w:rsidRDefault="00A30525" w:rsidP="00171242">
      <w:r>
        <w:separator/>
      </w:r>
    </w:p>
  </w:footnote>
  <w:footnote w:type="continuationSeparator" w:id="0">
    <w:p w14:paraId="1994A431" w14:textId="77777777" w:rsidR="00A30525" w:rsidRDefault="00A30525" w:rsidP="0017124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E96473" w14:textId="77777777" w:rsidR="00341C7C" w:rsidRDefault="00341C7C" w:rsidP="00171242">
    <w:pPr>
      <w:pStyle w:val="Header"/>
    </w:pPr>
    <w:r>
      <w:rPr>
        <w:noProof/>
      </w:rPr>
      <mc:AlternateContent>
        <mc:Choice Requires="wps">
          <w:drawing>
            <wp:anchor distT="0" distB="0" distL="0" distR="0" simplePos="0" relativeHeight="251659264" behindDoc="0" locked="0" layoutInCell="1" allowOverlap="1" wp14:anchorId="50E6D958" wp14:editId="432CEF38">
              <wp:simplePos x="635" y="635"/>
              <wp:positionH relativeFrom="page">
                <wp:align>left</wp:align>
              </wp:positionH>
              <wp:positionV relativeFrom="page">
                <wp:align>top</wp:align>
              </wp:positionV>
              <wp:extent cx="443865" cy="443865"/>
              <wp:effectExtent l="0" t="0" r="3175" b="1905"/>
              <wp:wrapNone/>
              <wp:docPr id="97813941" name="Text Box 2" descr="OFFICIAL-SENSITIVE&#10;&#10;&#10;&#10;">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2DE2008D" w14:textId="77777777" w:rsidR="00341C7C" w:rsidRPr="00341C7C" w:rsidRDefault="00341C7C" w:rsidP="00171242">
                          <w:pPr>
                            <w:rPr>
                              <w:noProof/>
                            </w:rPr>
                          </w:pPr>
                          <w:r w:rsidRPr="00341C7C">
                            <w:rPr>
                              <w:noProof/>
                            </w:rPr>
                            <w:t>OFFICIAL-SENSITIVE</w:t>
                          </w:r>
                        </w:p>
                        <w:p w14:paraId="523BE675" w14:textId="77777777" w:rsidR="00341C7C" w:rsidRPr="00341C7C" w:rsidRDefault="00341C7C" w:rsidP="00171242">
                          <w:pPr>
                            <w:rPr>
                              <w:noProof/>
                            </w:rPr>
                          </w:pPr>
                        </w:p>
                        <w:p w14:paraId="5F04EA0C" w14:textId="77777777" w:rsidR="00341C7C" w:rsidRPr="00341C7C" w:rsidRDefault="00341C7C" w:rsidP="00171242">
                          <w:pPr>
                            <w:rPr>
                              <w:noProof/>
                            </w:rPr>
                          </w:pPr>
                        </w:p>
                        <w:p w14:paraId="5A93BC81" w14:textId="77777777" w:rsidR="00341C7C" w:rsidRPr="00341C7C" w:rsidRDefault="00341C7C" w:rsidP="00171242">
                          <w:pPr>
                            <w:rPr>
                              <w:noProof/>
                            </w:rPr>
                          </w:pPr>
                        </w:p>
                        <w:p w14:paraId="70B37B26" w14:textId="77777777" w:rsidR="00341C7C" w:rsidRPr="00341C7C" w:rsidRDefault="00341C7C" w:rsidP="00171242">
                          <w:pPr>
                            <w:rPr>
                              <w:noProof/>
                            </w:rPr>
                          </w:pPr>
                        </w:p>
                      </w:txbxContent>
                    </wps:txbx>
                    <wps:bodyPr rot="0" spcFirstLastPara="0" vertOverflow="overflow" horzOverflow="overflow" vert="horz" wrap="none" lIns="254000" tIns="190500" rIns="0" bIns="0" numCol="1" spcCol="0" rtlCol="0" fromWordArt="0" anchor="t" anchorCtr="0" forceAA="0" compatLnSpc="1">
                      <a:prstTxWarp prst="textNoShape">
                        <a:avLst/>
                      </a:prstTxWarp>
                      <a:spAutoFit/>
                    </wps:bodyPr>
                  </wps:wsp>
                </a:graphicData>
              </a:graphic>
            </wp:anchor>
          </w:drawing>
        </mc:Choice>
        <mc:Fallback>
          <w:pict>
            <v:shapetype w14:anchorId="50E6D958" id="_x0000_t202" coordsize="21600,21600" o:spt="202" path="m,l,21600r21600,l21600,xe">
              <v:stroke joinstyle="miter"/>
              <v:path gradientshapeok="t" o:connecttype="rect"/>
            </v:shapetype>
            <v:shape id="Text Box 2" o:spid="_x0000_s1026" type="#_x0000_t202" alt="OFFICIAL-SENSITIVE&#10;&#10;&#10;&#10;" style="position:absolute;margin-left:0;margin-top:0;width:34.95pt;height:34.95pt;z-index:251659264;visibility:visible;mso-wrap-style:none;mso-wrap-distance-left:0;mso-wrap-distance-top:0;mso-wrap-distance-right:0;mso-wrap-distance-bottom:0;mso-position-horizontal:left;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" filled="f" stroked="f">
              <v:textbox style="mso-fit-shape-to-text:t" inset="20pt,15pt,0,0">
                <w:txbxContent>
                  <w:p w14:paraId="2DE2008D" w14:textId="77777777" w:rsidR="00341C7C" w:rsidRPr="00341C7C" w:rsidRDefault="00341C7C" w:rsidP="00171242">
                    <w:pPr>
                      <w:rPr>
                        <w:noProof/>
                      </w:rPr>
                    </w:pPr>
                    <w:r w:rsidRPr="00341C7C">
                      <w:rPr>
                        <w:noProof/>
                      </w:rPr>
                      <w:t>OFFICIAL-SENSITIVE</w:t>
                    </w:r>
                  </w:p>
                  <w:p w14:paraId="523BE675" w14:textId="77777777" w:rsidR="00341C7C" w:rsidRPr="00341C7C" w:rsidRDefault="00341C7C" w:rsidP="00171242">
                    <w:pPr>
                      <w:rPr>
                        <w:noProof/>
                      </w:rPr>
                    </w:pPr>
                  </w:p>
                  <w:p w14:paraId="5F04EA0C" w14:textId="77777777" w:rsidR="00341C7C" w:rsidRPr="00341C7C" w:rsidRDefault="00341C7C" w:rsidP="00171242">
                    <w:pPr>
                      <w:rPr>
                        <w:noProof/>
                      </w:rPr>
                    </w:pPr>
                  </w:p>
                  <w:p w14:paraId="5A93BC81" w14:textId="77777777" w:rsidR="00341C7C" w:rsidRPr="00341C7C" w:rsidRDefault="00341C7C" w:rsidP="00171242">
                    <w:pPr>
                      <w:rPr>
                        <w:noProof/>
                      </w:rPr>
                    </w:pPr>
                  </w:p>
                  <w:p w14:paraId="70B37B26" w14:textId="77777777" w:rsidR="00341C7C" w:rsidRPr="00341C7C" w:rsidRDefault="00341C7C" w:rsidP="00171242">
                    <w:pPr>
                      <w:rPr>
                        <w:noProof/>
                      </w:rPr>
                    </w:pP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6BB6E6" w14:textId="77777777" w:rsidR="001D0152" w:rsidRPr="00F4430F" w:rsidRDefault="00F4430F" w:rsidP="00171242">
    <w:pPr>
      <w:pStyle w:val="Header"/>
      <w:rPr>
        <w:sz w:val="20"/>
        <w:szCs w:val="20"/>
      </w:rPr>
    </w:pPr>
    <w:r w:rsidRPr="00F4430F">
      <w:rPr>
        <w:sz w:val="20"/>
        <w:szCs w:val="20"/>
      </w:rPr>
      <w:t>Population Health Analysis, Chief Analysts Directorate</w:t>
    </w:r>
    <w:r w:rsidRPr="00F4430F">
      <w:rPr>
        <w:sz w:val="20"/>
        <w:szCs w:val="20"/>
      </w:rPr>
      <w:tab/>
    </w:r>
    <w:r w:rsidR="00383508">
      <w:rPr>
        <w:sz w:val="20"/>
        <w:szCs w:val="20"/>
      </w:rPr>
      <w:t>04/11/2025</w:t>
    </w:r>
  </w:p>
  <w:p w14:paraId="67547A68" w14:textId="77777777" w:rsidR="00F4430F" w:rsidRDefault="00F4430F" w:rsidP="00171242">
    <w:pPr>
      <w:pStyle w:val="Header"/>
    </w:pPr>
  </w:p>
  <w:p w14:paraId="2EE8D45B" w14:textId="77777777" w:rsidR="00341C7C" w:rsidRDefault="00406866" w:rsidP="0082010C">
    <w:pPr>
      <w:pStyle w:val="Header"/>
      <w:jc w:val="both"/>
    </w:pPr>
    <w:r>
      <w:tab/>
    </w:r>
    <w:r>
      <w:tab/>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F74FD0" w14:textId="77777777" w:rsidR="00FD1EE9" w:rsidRDefault="00FD1EE9" w:rsidP="00FD1EE9">
    <w:pPr>
      <w:pStyle w:val="Header"/>
      <w:jc w:val="right"/>
    </w:pPr>
    <w:r>
      <w:t>Briefing sent on 04/11/2025</w:t>
    </w:r>
  </w:p>
  <w:p w14:paraId="5BBDC763" w14:textId="77777777" w:rsidR="00FD1EE9" w:rsidRDefault="00FD1EE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AB3F59"/>
    <w:multiLevelType w:val="hybridMultilevel"/>
    <w:tmpl w:val="E6FACAB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82B6617"/>
    <w:multiLevelType w:val="multilevel"/>
    <w:tmpl w:val="76F2C0B8"/>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040" w:hanging="1800"/>
      </w:pPr>
      <w:rPr>
        <w:rFonts w:hint="default"/>
      </w:rPr>
    </w:lvl>
  </w:abstractNum>
  <w:abstractNum w:abstractNumId="2" w15:restartNumberingAfterBreak="0">
    <w:nsid w:val="29DB7BF1"/>
    <w:multiLevelType w:val="hybridMultilevel"/>
    <w:tmpl w:val="E95868B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3D077D56"/>
    <w:multiLevelType w:val="hybridMultilevel"/>
    <w:tmpl w:val="42D2FC1C"/>
    <w:lvl w:ilvl="0" w:tplc="64885028">
      <w:start w:val="1"/>
      <w:numFmt w:val="decimal"/>
      <w:lvlText w:val="%1."/>
      <w:lvlJc w:val="left"/>
      <w:pPr>
        <w:ind w:left="360" w:hanging="360"/>
      </w:pPr>
      <w:rPr>
        <w:rFonts w:hint="default"/>
        <w:b w:val="0"/>
        <w:strike w:val="0"/>
        <w:sz w:val="22"/>
        <w:szCs w:val="22"/>
      </w:rPr>
    </w:lvl>
    <w:lvl w:ilvl="1" w:tplc="08090019">
      <w:start w:val="1"/>
      <w:numFmt w:val="lowerLetter"/>
      <w:lvlText w:val="%2."/>
      <w:lvlJc w:val="left"/>
      <w:pPr>
        <w:ind w:left="1734" w:hanging="360"/>
      </w:pPr>
    </w:lvl>
    <w:lvl w:ilvl="2" w:tplc="0809001B" w:tentative="1">
      <w:start w:val="1"/>
      <w:numFmt w:val="lowerRoman"/>
      <w:lvlText w:val="%3."/>
      <w:lvlJc w:val="right"/>
      <w:pPr>
        <w:ind w:left="2454" w:hanging="180"/>
      </w:pPr>
    </w:lvl>
    <w:lvl w:ilvl="3" w:tplc="0809000F" w:tentative="1">
      <w:start w:val="1"/>
      <w:numFmt w:val="decimal"/>
      <w:lvlText w:val="%4."/>
      <w:lvlJc w:val="left"/>
      <w:pPr>
        <w:ind w:left="3174" w:hanging="360"/>
      </w:pPr>
    </w:lvl>
    <w:lvl w:ilvl="4" w:tplc="08090019" w:tentative="1">
      <w:start w:val="1"/>
      <w:numFmt w:val="lowerLetter"/>
      <w:lvlText w:val="%5."/>
      <w:lvlJc w:val="left"/>
      <w:pPr>
        <w:ind w:left="3894" w:hanging="360"/>
      </w:pPr>
    </w:lvl>
    <w:lvl w:ilvl="5" w:tplc="0809001B" w:tentative="1">
      <w:start w:val="1"/>
      <w:numFmt w:val="lowerRoman"/>
      <w:lvlText w:val="%6."/>
      <w:lvlJc w:val="right"/>
      <w:pPr>
        <w:ind w:left="4614" w:hanging="180"/>
      </w:pPr>
    </w:lvl>
    <w:lvl w:ilvl="6" w:tplc="0809000F" w:tentative="1">
      <w:start w:val="1"/>
      <w:numFmt w:val="decimal"/>
      <w:lvlText w:val="%7."/>
      <w:lvlJc w:val="left"/>
      <w:pPr>
        <w:ind w:left="5334" w:hanging="360"/>
      </w:pPr>
    </w:lvl>
    <w:lvl w:ilvl="7" w:tplc="08090019" w:tentative="1">
      <w:start w:val="1"/>
      <w:numFmt w:val="lowerLetter"/>
      <w:lvlText w:val="%8."/>
      <w:lvlJc w:val="left"/>
      <w:pPr>
        <w:ind w:left="6054" w:hanging="360"/>
      </w:pPr>
    </w:lvl>
    <w:lvl w:ilvl="8" w:tplc="0809001B" w:tentative="1">
      <w:start w:val="1"/>
      <w:numFmt w:val="lowerRoman"/>
      <w:lvlText w:val="%9."/>
      <w:lvlJc w:val="right"/>
      <w:pPr>
        <w:ind w:left="6774" w:hanging="180"/>
      </w:pPr>
    </w:lvl>
  </w:abstractNum>
  <w:abstractNum w:abstractNumId="4" w15:restartNumberingAfterBreak="0">
    <w:nsid w:val="44EA7E7E"/>
    <w:multiLevelType w:val="hybridMultilevel"/>
    <w:tmpl w:val="1DC2F8B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108935672">
    <w:abstractNumId w:val="2"/>
  </w:num>
  <w:num w:numId="2" w16cid:durableId="1744327979">
    <w:abstractNumId w:val="4"/>
  </w:num>
  <w:num w:numId="3" w16cid:durableId="1290744297">
    <w:abstractNumId w:val="0"/>
  </w:num>
  <w:num w:numId="4" w16cid:durableId="1849174857">
    <w:abstractNumId w:val="1"/>
  </w:num>
  <w:num w:numId="5" w16cid:durableId="113260133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ttachedTemplate r:id="rId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0525"/>
    <w:rsid w:val="0000363D"/>
    <w:rsid w:val="0003458F"/>
    <w:rsid w:val="00055EDE"/>
    <w:rsid w:val="0006096E"/>
    <w:rsid w:val="000B1893"/>
    <w:rsid w:val="000F66AA"/>
    <w:rsid w:val="0011244C"/>
    <w:rsid w:val="00143F7F"/>
    <w:rsid w:val="00153989"/>
    <w:rsid w:val="00171242"/>
    <w:rsid w:val="00176E25"/>
    <w:rsid w:val="001B441C"/>
    <w:rsid w:val="001C452D"/>
    <w:rsid w:val="001D0152"/>
    <w:rsid w:val="001E3A01"/>
    <w:rsid w:val="0020796E"/>
    <w:rsid w:val="00221A10"/>
    <w:rsid w:val="00224F12"/>
    <w:rsid w:val="00246593"/>
    <w:rsid w:val="00272354"/>
    <w:rsid w:val="00274027"/>
    <w:rsid w:val="0027415C"/>
    <w:rsid w:val="002831C7"/>
    <w:rsid w:val="00297C61"/>
    <w:rsid w:val="002D5542"/>
    <w:rsid w:val="00341C7C"/>
    <w:rsid w:val="00347476"/>
    <w:rsid w:val="003749FE"/>
    <w:rsid w:val="00383508"/>
    <w:rsid w:val="003F32AC"/>
    <w:rsid w:val="003F6AD5"/>
    <w:rsid w:val="00406866"/>
    <w:rsid w:val="004126D0"/>
    <w:rsid w:val="00480A4B"/>
    <w:rsid w:val="00482F97"/>
    <w:rsid w:val="004A5501"/>
    <w:rsid w:val="004D7BF8"/>
    <w:rsid w:val="00503F36"/>
    <w:rsid w:val="00510A3B"/>
    <w:rsid w:val="00514A2B"/>
    <w:rsid w:val="00532570"/>
    <w:rsid w:val="00542976"/>
    <w:rsid w:val="00545D2A"/>
    <w:rsid w:val="00562ED6"/>
    <w:rsid w:val="00563E31"/>
    <w:rsid w:val="005835FC"/>
    <w:rsid w:val="00586C7C"/>
    <w:rsid w:val="005B5783"/>
    <w:rsid w:val="005C0FD5"/>
    <w:rsid w:val="005C5911"/>
    <w:rsid w:val="00637B06"/>
    <w:rsid w:val="006710EB"/>
    <w:rsid w:val="00682181"/>
    <w:rsid w:val="00685E1E"/>
    <w:rsid w:val="0068791B"/>
    <w:rsid w:val="006948A1"/>
    <w:rsid w:val="006A3AB3"/>
    <w:rsid w:val="006B3CF6"/>
    <w:rsid w:val="006B4E0D"/>
    <w:rsid w:val="0070611B"/>
    <w:rsid w:val="00714375"/>
    <w:rsid w:val="00724011"/>
    <w:rsid w:val="00753CC3"/>
    <w:rsid w:val="00753DC2"/>
    <w:rsid w:val="00764D5C"/>
    <w:rsid w:val="00771726"/>
    <w:rsid w:val="007C1E0E"/>
    <w:rsid w:val="007C3FD6"/>
    <w:rsid w:val="0082010C"/>
    <w:rsid w:val="008A42A0"/>
    <w:rsid w:val="008B4C16"/>
    <w:rsid w:val="008C20E0"/>
    <w:rsid w:val="008C6E47"/>
    <w:rsid w:val="008F045C"/>
    <w:rsid w:val="009122E4"/>
    <w:rsid w:val="00920234"/>
    <w:rsid w:val="00955157"/>
    <w:rsid w:val="00955EDC"/>
    <w:rsid w:val="00970F66"/>
    <w:rsid w:val="009A3329"/>
    <w:rsid w:val="00A30525"/>
    <w:rsid w:val="00A316DA"/>
    <w:rsid w:val="00A42123"/>
    <w:rsid w:val="00AB4A06"/>
    <w:rsid w:val="00AB59BC"/>
    <w:rsid w:val="00AC32E6"/>
    <w:rsid w:val="00AD380E"/>
    <w:rsid w:val="00AD5FEA"/>
    <w:rsid w:val="00B5212C"/>
    <w:rsid w:val="00B6146C"/>
    <w:rsid w:val="00B655C2"/>
    <w:rsid w:val="00B954F3"/>
    <w:rsid w:val="00BA0C48"/>
    <w:rsid w:val="00BA7B36"/>
    <w:rsid w:val="00BD5282"/>
    <w:rsid w:val="00C03829"/>
    <w:rsid w:val="00C10BF2"/>
    <w:rsid w:val="00C625C8"/>
    <w:rsid w:val="00CA5164"/>
    <w:rsid w:val="00CA7153"/>
    <w:rsid w:val="00CB6A2B"/>
    <w:rsid w:val="00CE32D1"/>
    <w:rsid w:val="00D042E7"/>
    <w:rsid w:val="00D30AB8"/>
    <w:rsid w:val="00D544D0"/>
    <w:rsid w:val="00D72AFF"/>
    <w:rsid w:val="00DB3297"/>
    <w:rsid w:val="00DC2894"/>
    <w:rsid w:val="00DC6603"/>
    <w:rsid w:val="00E0330B"/>
    <w:rsid w:val="00E17CF2"/>
    <w:rsid w:val="00E2352E"/>
    <w:rsid w:val="00E23769"/>
    <w:rsid w:val="00E26270"/>
    <w:rsid w:val="00E2677A"/>
    <w:rsid w:val="00E30EEA"/>
    <w:rsid w:val="00E32445"/>
    <w:rsid w:val="00E54AF2"/>
    <w:rsid w:val="00E5715C"/>
    <w:rsid w:val="00E6482A"/>
    <w:rsid w:val="00E96131"/>
    <w:rsid w:val="00E9694A"/>
    <w:rsid w:val="00EA6475"/>
    <w:rsid w:val="00EC6E9B"/>
    <w:rsid w:val="00EE085D"/>
    <w:rsid w:val="00EF2FB3"/>
    <w:rsid w:val="00F4430F"/>
    <w:rsid w:val="00F44AB8"/>
    <w:rsid w:val="00F53FB4"/>
    <w:rsid w:val="00F56C8B"/>
    <w:rsid w:val="00FD1CC3"/>
    <w:rsid w:val="00FD1EE9"/>
    <w:rsid w:val="00FE64CC"/>
    <w:rsid w:val="00FE6B2E"/>
    <w:rsid w:val="00FF3F4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17EF405"/>
  <w15:chartTrackingRefBased/>
  <w15:docId w15:val="{DBABA572-BF2C-4506-AE41-4BD711D3EE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71242"/>
    <w:rPr>
      <w:rFonts w:ascii="Arial" w:hAnsi="Arial" w:cs="Arial"/>
      <w:sz w:val="24"/>
      <w:szCs w:val="24"/>
    </w:rPr>
  </w:style>
  <w:style w:type="paragraph" w:styleId="Heading1">
    <w:name w:val="heading 1"/>
    <w:basedOn w:val="Normal"/>
    <w:next w:val="Normal"/>
    <w:link w:val="Heading1Char"/>
    <w:uiPriority w:val="9"/>
    <w:qFormat/>
    <w:rsid w:val="00BA0C48"/>
    <w:pPr>
      <w:outlineLvl w:val="0"/>
    </w:pPr>
    <w:rPr>
      <w:b/>
      <w:bCs/>
      <w:sz w:val="40"/>
      <w:szCs w:val="40"/>
    </w:rPr>
  </w:style>
  <w:style w:type="paragraph" w:styleId="Heading2">
    <w:name w:val="heading 2"/>
    <w:basedOn w:val="Normal"/>
    <w:next w:val="Normal"/>
    <w:link w:val="Heading2Char"/>
    <w:uiPriority w:val="9"/>
    <w:unhideWhenUsed/>
    <w:qFormat/>
    <w:rsid w:val="00BA0C48"/>
    <w:pPr>
      <w:outlineLvl w:val="1"/>
    </w:pPr>
    <w:rPr>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41C7C"/>
    <w:pPr>
      <w:tabs>
        <w:tab w:val="center" w:pos="4513"/>
        <w:tab w:val="right" w:pos="9026"/>
      </w:tabs>
      <w:spacing w:after="0" w:line="240" w:lineRule="auto"/>
    </w:pPr>
  </w:style>
  <w:style w:type="character" w:customStyle="1" w:styleId="HeaderChar">
    <w:name w:val="Header Char"/>
    <w:basedOn w:val="DefaultParagraphFont"/>
    <w:link w:val="Header"/>
    <w:uiPriority w:val="99"/>
    <w:rsid w:val="00341C7C"/>
  </w:style>
  <w:style w:type="paragraph" w:styleId="Footer">
    <w:name w:val="footer"/>
    <w:basedOn w:val="Normal"/>
    <w:link w:val="FooterChar"/>
    <w:uiPriority w:val="99"/>
    <w:unhideWhenUsed/>
    <w:rsid w:val="00341C7C"/>
    <w:pPr>
      <w:tabs>
        <w:tab w:val="center" w:pos="4513"/>
        <w:tab w:val="right" w:pos="9026"/>
      </w:tabs>
      <w:spacing w:after="0" w:line="240" w:lineRule="auto"/>
    </w:pPr>
  </w:style>
  <w:style w:type="character" w:customStyle="1" w:styleId="FooterChar">
    <w:name w:val="Footer Char"/>
    <w:basedOn w:val="DefaultParagraphFont"/>
    <w:link w:val="Footer"/>
    <w:uiPriority w:val="99"/>
    <w:rsid w:val="00341C7C"/>
  </w:style>
  <w:style w:type="paragraph" w:styleId="ListParagraph">
    <w:name w:val="List Paragraph"/>
    <w:basedOn w:val="Normal"/>
    <w:uiPriority w:val="34"/>
    <w:qFormat/>
    <w:rsid w:val="00C03829"/>
    <w:pPr>
      <w:ind w:left="720"/>
      <w:contextualSpacing/>
    </w:pPr>
  </w:style>
  <w:style w:type="character" w:styleId="PlaceholderText">
    <w:name w:val="Placeholder Text"/>
    <w:basedOn w:val="DefaultParagraphFont"/>
    <w:uiPriority w:val="99"/>
    <w:semiHidden/>
    <w:rsid w:val="00055EDE"/>
    <w:rPr>
      <w:color w:val="666666"/>
    </w:rPr>
  </w:style>
  <w:style w:type="character" w:customStyle="1" w:styleId="Heading1Char">
    <w:name w:val="Heading 1 Char"/>
    <w:basedOn w:val="DefaultParagraphFont"/>
    <w:link w:val="Heading1"/>
    <w:uiPriority w:val="9"/>
    <w:rsid w:val="00BA0C48"/>
    <w:rPr>
      <w:rFonts w:ascii="Arial" w:hAnsi="Arial" w:cs="Arial"/>
      <w:b/>
      <w:bCs/>
      <w:sz w:val="40"/>
      <w:szCs w:val="40"/>
    </w:rPr>
  </w:style>
  <w:style w:type="character" w:customStyle="1" w:styleId="Heading2Char">
    <w:name w:val="Heading 2 Char"/>
    <w:basedOn w:val="DefaultParagraphFont"/>
    <w:link w:val="Heading2"/>
    <w:uiPriority w:val="9"/>
    <w:rsid w:val="00BA0C48"/>
    <w:rPr>
      <w:rFonts w:ascii="Arial" w:hAnsi="Arial" w:cs="Arial"/>
      <w:b/>
      <w:bCs/>
      <w:sz w:val="28"/>
      <w:szCs w:val="28"/>
    </w:rPr>
  </w:style>
  <w:style w:type="character" w:styleId="Hyperlink">
    <w:name w:val="Hyperlink"/>
    <w:basedOn w:val="DefaultParagraphFont"/>
    <w:uiPriority w:val="99"/>
    <w:unhideWhenUsed/>
    <w:rsid w:val="00AB4A06"/>
    <w:rPr>
      <w:color w:val="0563C1" w:themeColor="hyperlink"/>
      <w:u w:val="single"/>
    </w:rPr>
  </w:style>
  <w:style w:type="character" w:styleId="UnresolvedMention">
    <w:name w:val="Unresolved Mention"/>
    <w:basedOn w:val="DefaultParagraphFont"/>
    <w:uiPriority w:val="99"/>
    <w:semiHidden/>
    <w:unhideWhenUsed/>
    <w:rsid w:val="00AB4A06"/>
    <w:rPr>
      <w:color w:val="605E5C"/>
      <w:shd w:val="clear" w:color="auto" w:fill="E1DFDD"/>
    </w:rPr>
  </w:style>
  <w:style w:type="character" w:styleId="CommentReference">
    <w:name w:val="annotation reference"/>
    <w:basedOn w:val="DefaultParagraphFont"/>
    <w:uiPriority w:val="99"/>
    <w:semiHidden/>
    <w:unhideWhenUsed/>
    <w:rsid w:val="00E2352E"/>
    <w:rPr>
      <w:sz w:val="16"/>
      <w:szCs w:val="16"/>
    </w:rPr>
  </w:style>
  <w:style w:type="paragraph" w:styleId="CommentText">
    <w:name w:val="annotation text"/>
    <w:basedOn w:val="Normal"/>
    <w:link w:val="CommentTextChar"/>
    <w:uiPriority w:val="99"/>
    <w:unhideWhenUsed/>
    <w:rsid w:val="00E2352E"/>
    <w:pPr>
      <w:spacing w:line="240" w:lineRule="auto"/>
    </w:pPr>
    <w:rPr>
      <w:sz w:val="20"/>
      <w:szCs w:val="20"/>
    </w:rPr>
  </w:style>
  <w:style w:type="character" w:customStyle="1" w:styleId="CommentTextChar">
    <w:name w:val="Comment Text Char"/>
    <w:basedOn w:val="DefaultParagraphFont"/>
    <w:link w:val="CommentText"/>
    <w:uiPriority w:val="99"/>
    <w:rsid w:val="00E2352E"/>
    <w:rPr>
      <w:rFonts w:ascii="Arial" w:hAnsi="Arial" w:cs="Arial"/>
      <w:sz w:val="20"/>
      <w:szCs w:val="20"/>
    </w:rPr>
  </w:style>
  <w:style w:type="paragraph" w:styleId="CommentSubject">
    <w:name w:val="annotation subject"/>
    <w:basedOn w:val="CommentText"/>
    <w:next w:val="CommentText"/>
    <w:link w:val="CommentSubjectChar"/>
    <w:uiPriority w:val="99"/>
    <w:semiHidden/>
    <w:unhideWhenUsed/>
    <w:rsid w:val="00E2352E"/>
    <w:rPr>
      <w:b/>
      <w:bCs/>
    </w:rPr>
  </w:style>
  <w:style w:type="character" w:customStyle="1" w:styleId="CommentSubjectChar">
    <w:name w:val="Comment Subject Char"/>
    <w:basedOn w:val="CommentTextChar"/>
    <w:link w:val="CommentSubject"/>
    <w:uiPriority w:val="99"/>
    <w:semiHidden/>
    <w:rsid w:val="00E2352E"/>
    <w:rPr>
      <w:rFonts w:ascii="Arial" w:hAnsi="Arial" w:cs="Arial"/>
      <w:b/>
      <w:bCs/>
      <w:sz w:val="20"/>
      <w:szCs w:val="20"/>
    </w:rPr>
  </w:style>
  <w:style w:type="paragraph" w:styleId="Revision">
    <w:name w:val="Revision"/>
    <w:hidden/>
    <w:uiPriority w:val="99"/>
    <w:semiHidden/>
    <w:rsid w:val="00153989"/>
    <w:pPr>
      <w:spacing w:after="0" w:line="240" w:lineRule="auto"/>
    </w:pPr>
    <w:rPr>
      <w:rFonts w:ascii="Arial" w:hAnsi="Arial" w:cs="Arial"/>
      <w:sz w:val="24"/>
      <w:szCs w:val="24"/>
    </w:rPr>
  </w:style>
  <w:style w:type="character" w:styleId="FollowedHyperlink">
    <w:name w:val="FollowedHyperlink"/>
    <w:basedOn w:val="DefaultParagraphFont"/>
    <w:uiPriority w:val="99"/>
    <w:semiHidden/>
    <w:unhideWhenUsed/>
    <w:rsid w:val="00E23769"/>
    <w:rPr>
      <w:color w:val="954F72" w:themeColor="followedHyperlink"/>
      <w:u w:val="single"/>
    </w:rPr>
  </w:style>
  <w:style w:type="character" w:customStyle="1" w:styleId="ui-provider">
    <w:name w:val="ui-provider"/>
    <w:basedOn w:val="DefaultParagraphFont"/>
    <w:rsid w:val="00FD1EE9"/>
  </w:style>
  <w:style w:type="table" w:styleId="GridTable6Colourful">
    <w:name w:val="Grid Table 6 Colorful"/>
    <w:basedOn w:val="TableNormal"/>
    <w:uiPriority w:val="51"/>
    <w:rsid w:val="00FD1EE9"/>
    <w:pPr>
      <w:spacing w:after="0" w:line="240" w:lineRule="auto"/>
    </w:pPr>
    <w:rPr>
      <w:rFonts w:ascii="Times New Roman" w:eastAsia="Times New Roman" w:hAnsi="Times New Roman" w:cs="Times New Roman"/>
      <w:color w:val="000000" w:themeColor="text1"/>
      <w:kern w:val="0"/>
      <w:sz w:val="20"/>
      <w:szCs w:val="20"/>
      <w:lang w:eastAsia="en-GB"/>
      <w14:ligatures w14:val="none"/>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fingertips.phe.org.uk/profile/obesity-physical-activity-nutrition/data" TargetMode="External"/><Relationship Id="rId18"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footer" Target="footer3.xml"/><Relationship Id="rId7" Type="http://schemas.openxmlformats.org/officeDocument/2006/relationships/settings" Target="settings.xml"/><Relationship Id="rId12" Type="http://schemas.openxmlformats.org/officeDocument/2006/relationships/hyperlink" Target="https://fingertips.phe.org.uk/profile/obesity-physical-activity-nutrition" TargetMode="External"/><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gov.uk/government/statistics/national-child-measurement-programme-ncmp-annual-report-academic-year-2024-to-2025-england" TargetMode="External"/><Relationship Id="rId5" Type="http://schemas.openxmlformats.org/officeDocument/2006/relationships/numbering" Target="numbering.xml"/><Relationship Id="rId15" Type="http://schemas.openxmlformats.org/officeDocument/2006/relationships/hyperlink" Target="mailto:catherine.bray@dhsc.gov.uk" TargetMode="Externa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caroline.hancock@dhsc.gov.uk" TargetMode="External"/><Relationship Id="rId22"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hingle\AppData\Local\Microsoft\Windows\INetCache\Content.Outlook\D1V6TLBZ\NCMP_2024-25_Post%20publication%20briefing%20note_4Nov2025.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AECC57C1975354AAF2707B734A50DBE" ma:contentTypeVersion="4" ma:contentTypeDescription="Create a new document." ma:contentTypeScope="" ma:versionID="5ef9f1a7a5c80813b38903a5317f3143">
  <xsd:schema xmlns:xsd="http://www.w3.org/2001/XMLSchema" xmlns:xs="http://www.w3.org/2001/XMLSchema" xmlns:p="http://schemas.microsoft.com/office/2006/metadata/properties" xmlns:ns2="5886a69e-c5ff-4f6a-af9d-4800b7a712f0" targetNamespace="http://schemas.microsoft.com/office/2006/metadata/properties" ma:root="true" ma:fieldsID="b5841dd7015e8c4c3bb6d6a09519311c" ns2:_="">
    <xsd:import namespace="5886a69e-c5ff-4f6a-af9d-4800b7a712f0"/>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886a69e-c5ff-4f6a-af9d-4800b7a712f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4811AE28-F73D-4477-8A84-ACE67670813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886a69e-c5ff-4f6a-af9d-4800b7a712f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88DDDF3-B103-4533-B09B-51939C470732}">
  <ds:schemaRefs>
    <ds:schemaRef ds:uri="http://schemas.openxmlformats.org/officeDocument/2006/bibliography"/>
  </ds:schemaRefs>
</ds:datastoreItem>
</file>

<file path=customXml/itemProps3.xml><?xml version="1.0" encoding="utf-8"?>
<ds:datastoreItem xmlns:ds="http://schemas.openxmlformats.org/officeDocument/2006/customXml" ds:itemID="{EB13129D-00ED-470D-AE56-4C066E9F5F55}">
  <ds:schemaRefs>
    <ds:schemaRef ds:uri="http://schemas.microsoft.com/sharepoint/v3/contenttype/forms"/>
  </ds:schemaRefs>
</ds:datastoreItem>
</file>

<file path=customXml/itemProps4.xml><?xml version="1.0" encoding="utf-8"?>
<ds:datastoreItem xmlns:ds="http://schemas.openxmlformats.org/officeDocument/2006/customXml" ds:itemID="{2BAC07AC-6804-43D5-B192-459E7A2C730C}">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NCMP_2024-25_Post publication briefing note_4Nov2025</Template>
  <TotalTime>1</TotalTime>
  <Pages>3</Pages>
  <Words>779</Words>
  <Characters>4444</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Helen Ingle</dc:creator>
  <cp:keywords/>
  <dc:description/>
  <cp:lastModifiedBy>Helen Ingle</cp:lastModifiedBy>
  <cp:revision>1</cp:revision>
  <dcterms:created xsi:type="dcterms:W3CDTF">2025-12-09T12:18:00Z</dcterms:created>
  <dcterms:modified xsi:type="dcterms:W3CDTF">2025-12-09T12:19:00Z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ContentMarkingHeaderShapeIds">
    <vt:lpwstr>3c74f121,5d485b5,e453a0a</vt:lpwstr>
  </property>
  <property fmtid="{D5CDD505-2E9C-101B-9397-08002B2CF9AE}" pid="3" name="ClassificationContentMarkingHeaderFontProps">
    <vt:lpwstr>#000000,10,Calibri</vt:lpwstr>
  </property>
  <property fmtid="{D5CDD505-2E9C-101B-9397-08002B2CF9AE}" pid="4" name="ClassificationContentMarkingHeaderText">
    <vt:lpwstr>OFFICIAL-SENSITIVE
</vt:lpwstr>
  </property>
  <property fmtid="{D5CDD505-2E9C-101B-9397-08002B2CF9AE}" pid="5" name="MSIP_Label_ae2eac51-980c-4edb-a281-5c82eb36534f_Enabled">
    <vt:lpwstr>true</vt:lpwstr>
  </property>
  <property fmtid="{D5CDD505-2E9C-101B-9397-08002B2CF9AE}" pid="6" name="MSIP_Label_ae2eac51-980c-4edb-a281-5c82eb36534f_SetDate">
    <vt:lpwstr>2024-10-28T09:44:13Z</vt:lpwstr>
  </property>
  <property fmtid="{D5CDD505-2E9C-101B-9397-08002B2CF9AE}" pid="7" name="MSIP_Label_ae2eac51-980c-4edb-a281-5c82eb36534f_Method">
    <vt:lpwstr>Privileged</vt:lpwstr>
  </property>
  <property fmtid="{D5CDD505-2E9C-101B-9397-08002B2CF9AE}" pid="8" name="MSIP_Label_ae2eac51-980c-4edb-a281-5c82eb36534f_Name">
    <vt:lpwstr>OFFICIAL-SENSITIVE</vt:lpwstr>
  </property>
  <property fmtid="{D5CDD505-2E9C-101B-9397-08002B2CF9AE}" pid="9" name="MSIP_Label_ae2eac51-980c-4edb-a281-5c82eb36534f_SiteId">
    <vt:lpwstr>61278c30-91a8-4c31-8c1f-ef4de8973a1c</vt:lpwstr>
  </property>
  <property fmtid="{D5CDD505-2E9C-101B-9397-08002B2CF9AE}" pid="10" name="MSIP_Label_ae2eac51-980c-4edb-a281-5c82eb36534f_ActionId">
    <vt:lpwstr>e107ec2d-8fa4-44ac-bef3-1e5f19868b47</vt:lpwstr>
  </property>
  <property fmtid="{D5CDD505-2E9C-101B-9397-08002B2CF9AE}" pid="11" name="MSIP_Label_ae2eac51-980c-4edb-a281-5c82eb36534f_ContentBits">
    <vt:lpwstr>1</vt:lpwstr>
  </property>
  <property fmtid="{D5CDD505-2E9C-101B-9397-08002B2CF9AE}" pid="12" name="ContentTypeId">
    <vt:lpwstr>0x0101002AECC57C1975354AAF2707B734A50DBE</vt:lpwstr>
  </property>
  <property fmtid="{D5CDD505-2E9C-101B-9397-08002B2CF9AE}" pid="13" name="MediaServiceImageTags">
    <vt:lpwstr/>
  </property>
  <property fmtid="{D5CDD505-2E9C-101B-9397-08002B2CF9AE}" pid="14" name="xd_ProgID">
    <vt:lpwstr/>
  </property>
  <property fmtid="{D5CDD505-2E9C-101B-9397-08002B2CF9AE}" pid="15" name="ComplianceAssetId">
    <vt:lpwstr/>
  </property>
  <property fmtid="{D5CDD505-2E9C-101B-9397-08002B2CF9AE}" pid="16" name="TemplateUrl">
    <vt:lpwstr/>
  </property>
  <property fmtid="{D5CDD505-2E9C-101B-9397-08002B2CF9AE}" pid="17" name="_ExtendedDescription">
    <vt:lpwstr/>
  </property>
  <property fmtid="{D5CDD505-2E9C-101B-9397-08002B2CF9AE}" pid="18" name="TriggerFlowInfo">
    <vt:lpwstr/>
  </property>
  <property fmtid="{D5CDD505-2E9C-101B-9397-08002B2CF9AE}" pid="19" name="xd_Signature">
    <vt:bool>false</vt:bool>
  </property>
  <property fmtid="{D5CDD505-2E9C-101B-9397-08002B2CF9AE}" pid="20" name="ClassificationContentMarkingFooterShapeIds">
    <vt:lpwstr>664a2190,15e548fb,65caf0c</vt:lpwstr>
  </property>
  <property fmtid="{D5CDD505-2E9C-101B-9397-08002B2CF9AE}" pid="21" name="ClassificationContentMarkingFooterFontProps">
    <vt:lpwstr>#ff0000,10,Calibri</vt:lpwstr>
  </property>
  <property fmtid="{D5CDD505-2E9C-101B-9397-08002B2CF9AE}" pid="22" name="ClassificationContentMarkingFooterText">
    <vt:lpwstr>OFFICIAL</vt:lpwstr>
  </property>
  <property fmtid="{D5CDD505-2E9C-101B-9397-08002B2CF9AE}" pid="23" name="MSIP_Label_3ecdfc32-7be5-4b17-9f97-00453388bdd7_Enabled">
    <vt:lpwstr>true</vt:lpwstr>
  </property>
  <property fmtid="{D5CDD505-2E9C-101B-9397-08002B2CF9AE}" pid="24" name="MSIP_Label_3ecdfc32-7be5-4b17-9f97-00453388bdd7_SetDate">
    <vt:lpwstr>2025-12-09T12:19:02Z</vt:lpwstr>
  </property>
  <property fmtid="{D5CDD505-2E9C-101B-9397-08002B2CF9AE}" pid="25" name="MSIP_Label_3ecdfc32-7be5-4b17-9f97-00453388bdd7_Method">
    <vt:lpwstr>Standard</vt:lpwstr>
  </property>
  <property fmtid="{D5CDD505-2E9C-101B-9397-08002B2CF9AE}" pid="26" name="MSIP_Label_3ecdfc32-7be5-4b17-9f97-00453388bdd7_Name">
    <vt:lpwstr>OFFICIAL</vt:lpwstr>
  </property>
  <property fmtid="{D5CDD505-2E9C-101B-9397-08002B2CF9AE}" pid="27" name="MSIP_Label_3ecdfc32-7be5-4b17-9f97-00453388bdd7_SiteId">
    <vt:lpwstr>ad3d9c73-9830-44a1-b487-e1055441c70e</vt:lpwstr>
  </property>
  <property fmtid="{D5CDD505-2E9C-101B-9397-08002B2CF9AE}" pid="28" name="MSIP_Label_3ecdfc32-7be5-4b17-9f97-00453388bdd7_ActionId">
    <vt:lpwstr>0aee75fc-37c2-4f83-9eb8-af5dba9e1c7e</vt:lpwstr>
  </property>
  <property fmtid="{D5CDD505-2E9C-101B-9397-08002B2CF9AE}" pid="29" name="MSIP_Label_3ecdfc32-7be5-4b17-9f97-00453388bdd7_ContentBits">
    <vt:lpwstr>2</vt:lpwstr>
  </property>
</Properties>
</file>