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66" w:rsidRDefault="00566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46303</wp:posOffset>
            </wp:positionH>
            <wp:positionV relativeFrom="paragraph">
              <wp:posOffset>154</wp:posOffset>
            </wp:positionV>
            <wp:extent cx="257746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392" y="21255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466" w:rsidRDefault="00566466">
      <w:pPr>
        <w:rPr>
          <w:rFonts w:ascii="Arial" w:hAnsi="Arial" w:cs="Arial"/>
          <w:b/>
          <w:sz w:val="24"/>
          <w:szCs w:val="24"/>
        </w:rPr>
      </w:pPr>
    </w:p>
    <w:p w:rsidR="00566466" w:rsidRDefault="00566466">
      <w:pPr>
        <w:rPr>
          <w:rFonts w:ascii="Arial" w:hAnsi="Arial" w:cs="Arial"/>
          <w:b/>
          <w:sz w:val="24"/>
          <w:szCs w:val="24"/>
        </w:rPr>
      </w:pPr>
    </w:p>
    <w:p w:rsidR="00566466" w:rsidRDefault="00566466">
      <w:pPr>
        <w:rPr>
          <w:rFonts w:ascii="Arial" w:hAnsi="Arial" w:cs="Arial"/>
          <w:b/>
          <w:sz w:val="24"/>
          <w:szCs w:val="24"/>
        </w:rPr>
      </w:pPr>
    </w:p>
    <w:p w:rsidR="00481B99" w:rsidRDefault="007E56DE" w:rsidP="009509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Term-time only </w:t>
      </w:r>
      <w:r w:rsidR="0095093D">
        <w:rPr>
          <w:rFonts w:ascii="Arial" w:hAnsi="Arial" w:cs="Arial"/>
          <w:b/>
          <w:sz w:val="24"/>
          <w:szCs w:val="24"/>
        </w:rPr>
        <w:t>working</w:t>
      </w:r>
    </w:p>
    <w:p w:rsidR="00B26E10" w:rsidRDefault="00B26E10" w:rsidP="007E56DE">
      <w:pPr>
        <w:spacing w:after="0"/>
      </w:pPr>
    </w:p>
    <w:p w:rsidR="007E56DE" w:rsidRPr="0095093D" w:rsidRDefault="007E56DE" w:rsidP="0095093D">
      <w:pPr>
        <w:spacing w:after="0"/>
        <w:jc w:val="both"/>
        <w:rPr>
          <w:rFonts w:ascii="Arial" w:hAnsi="Arial" w:cs="Arial"/>
          <w:sz w:val="24"/>
        </w:rPr>
      </w:pPr>
      <w:r w:rsidRPr="0095093D">
        <w:rPr>
          <w:rFonts w:ascii="Arial" w:hAnsi="Arial" w:cs="Arial"/>
          <w:sz w:val="24"/>
        </w:rPr>
        <w:t xml:space="preserve">The weeks paid to term-time only employees is based on the </w:t>
      </w:r>
      <w:r w:rsidR="0095093D" w:rsidRPr="0095093D">
        <w:rPr>
          <w:rFonts w:ascii="Arial" w:hAnsi="Arial" w:cs="Arial"/>
          <w:sz w:val="24"/>
        </w:rPr>
        <w:t xml:space="preserve">number of </w:t>
      </w:r>
      <w:r w:rsidRPr="0095093D">
        <w:rPr>
          <w:rFonts w:ascii="Arial" w:hAnsi="Arial" w:cs="Arial"/>
          <w:sz w:val="24"/>
        </w:rPr>
        <w:t xml:space="preserve">weeks </w:t>
      </w:r>
      <w:r w:rsidR="0095093D" w:rsidRPr="0095093D">
        <w:rPr>
          <w:rFonts w:ascii="Arial" w:hAnsi="Arial" w:cs="Arial"/>
          <w:sz w:val="24"/>
        </w:rPr>
        <w:t xml:space="preserve">they </w:t>
      </w:r>
      <w:r w:rsidRPr="0095093D">
        <w:rPr>
          <w:rFonts w:ascii="Arial" w:hAnsi="Arial" w:cs="Arial"/>
          <w:sz w:val="24"/>
        </w:rPr>
        <w:t xml:space="preserve">work and the individual’s leave entitlement based on their length of service.   Using the accrual rates shown in </w:t>
      </w:r>
      <w:r w:rsidR="0095093D">
        <w:rPr>
          <w:rFonts w:ascii="Arial" w:hAnsi="Arial" w:cs="Arial"/>
          <w:sz w:val="24"/>
        </w:rPr>
        <w:t>T</w:t>
      </w:r>
      <w:r w:rsidRPr="0095093D">
        <w:rPr>
          <w:rFonts w:ascii="Arial" w:hAnsi="Arial" w:cs="Arial"/>
          <w:sz w:val="24"/>
        </w:rPr>
        <w:t>able</w:t>
      </w:r>
      <w:r w:rsidR="0095093D">
        <w:rPr>
          <w:rFonts w:ascii="Arial" w:hAnsi="Arial" w:cs="Arial"/>
          <w:sz w:val="24"/>
        </w:rPr>
        <w:t xml:space="preserve"> 1</w:t>
      </w:r>
      <w:r w:rsidRPr="0095093D">
        <w:rPr>
          <w:rFonts w:ascii="Arial" w:hAnsi="Arial" w:cs="Arial"/>
          <w:sz w:val="24"/>
        </w:rPr>
        <w:t xml:space="preserve">, </w:t>
      </w:r>
      <w:r w:rsidR="0095093D" w:rsidRPr="0095093D">
        <w:rPr>
          <w:rFonts w:ascii="Arial" w:hAnsi="Arial" w:cs="Arial"/>
          <w:sz w:val="24"/>
        </w:rPr>
        <w:t>weeks paid can be calculated as follows:</w:t>
      </w:r>
    </w:p>
    <w:p w:rsidR="0095093D" w:rsidRPr="0095093D" w:rsidRDefault="0095093D" w:rsidP="0095093D">
      <w:pPr>
        <w:spacing w:after="0"/>
        <w:jc w:val="both"/>
        <w:rPr>
          <w:rFonts w:ascii="Arial" w:hAnsi="Arial" w:cs="Arial"/>
          <w:sz w:val="24"/>
        </w:rPr>
      </w:pPr>
    </w:p>
    <w:p w:rsidR="0095093D" w:rsidRDefault="0095093D" w:rsidP="0095093D">
      <w:pPr>
        <w:spacing w:after="0"/>
        <w:jc w:val="center"/>
        <w:rPr>
          <w:rFonts w:ascii="Arial" w:hAnsi="Arial" w:cs="Arial"/>
          <w:b/>
          <w:sz w:val="24"/>
        </w:rPr>
      </w:pPr>
      <w:r w:rsidRPr="0095093D">
        <w:rPr>
          <w:rFonts w:ascii="Arial" w:hAnsi="Arial" w:cs="Arial"/>
          <w:b/>
          <w:sz w:val="24"/>
        </w:rPr>
        <w:t>Weeks paid = weeks worked x accrual rate based on length of service</w:t>
      </w:r>
    </w:p>
    <w:p w:rsidR="0095093D" w:rsidRDefault="0095093D" w:rsidP="0095093D">
      <w:pPr>
        <w:spacing w:after="0"/>
        <w:jc w:val="center"/>
        <w:rPr>
          <w:rFonts w:ascii="Arial" w:hAnsi="Arial" w:cs="Arial"/>
          <w:b/>
          <w:sz w:val="24"/>
        </w:rPr>
      </w:pPr>
    </w:p>
    <w:p w:rsidR="0095093D" w:rsidRPr="0095093D" w:rsidRDefault="0095093D" w:rsidP="0095093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 1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2967"/>
        <w:gridCol w:w="3119"/>
        <w:gridCol w:w="2835"/>
      </w:tblGrid>
      <w:tr w:rsidR="0095093D" w:rsidRPr="007E56DE" w:rsidTr="0095093D">
        <w:trPr>
          <w:trHeight w:val="52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3D" w:rsidRPr="007E56DE" w:rsidRDefault="0095093D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Length of service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3D" w:rsidRPr="007E56DE" w:rsidRDefault="0095093D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Days leave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3D" w:rsidRPr="007E56DE" w:rsidRDefault="0095093D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Accrual rate</w:t>
            </w:r>
          </w:p>
        </w:tc>
      </w:tr>
      <w:tr w:rsidR="0095093D" w:rsidRPr="007E56DE" w:rsidTr="0095093D">
        <w:trPr>
          <w:trHeight w:val="25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93D" w:rsidRPr="007E56DE" w:rsidRDefault="0095093D" w:rsidP="004979E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6DE">
              <w:rPr>
                <w:rFonts w:ascii="Arial" w:hAnsi="Arial" w:cs="Arial"/>
                <w:color w:val="000000"/>
                <w:sz w:val="24"/>
                <w:szCs w:val="24"/>
              </w:rPr>
              <w:t>Less than 2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0.135</w:t>
            </w:r>
          </w:p>
        </w:tc>
      </w:tr>
      <w:tr w:rsidR="0095093D" w:rsidRPr="007E56DE" w:rsidTr="0095093D">
        <w:trPr>
          <w:trHeight w:val="25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93D" w:rsidRPr="007E56DE" w:rsidRDefault="0095093D" w:rsidP="004979E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6DE">
              <w:rPr>
                <w:rFonts w:ascii="Arial" w:hAnsi="Arial" w:cs="Arial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0.140</w:t>
            </w:r>
          </w:p>
        </w:tc>
      </w:tr>
      <w:tr w:rsidR="0095093D" w:rsidRPr="007E56DE" w:rsidTr="0095093D">
        <w:trPr>
          <w:trHeight w:val="25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93D" w:rsidRPr="007E56DE" w:rsidRDefault="0095093D" w:rsidP="004979E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6DE">
              <w:rPr>
                <w:rFonts w:ascii="Arial" w:hAnsi="Arial" w:cs="Arial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0.145</w:t>
            </w:r>
          </w:p>
        </w:tc>
      </w:tr>
      <w:tr w:rsidR="0095093D" w:rsidRPr="007E56DE" w:rsidTr="0095093D">
        <w:trPr>
          <w:trHeight w:val="25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93D" w:rsidRPr="007E56DE" w:rsidRDefault="0095093D" w:rsidP="004979E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6DE">
              <w:rPr>
                <w:rFonts w:ascii="Arial" w:hAnsi="Arial" w:cs="Arial"/>
                <w:color w:val="000000"/>
                <w:sz w:val="24"/>
                <w:szCs w:val="24"/>
              </w:rPr>
              <w:t>4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0.150</w:t>
            </w:r>
          </w:p>
        </w:tc>
      </w:tr>
      <w:tr w:rsidR="0095093D" w:rsidRPr="007E56DE" w:rsidTr="0095093D">
        <w:trPr>
          <w:trHeight w:val="25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93D" w:rsidRPr="007E56DE" w:rsidRDefault="0095093D" w:rsidP="004979E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6DE">
              <w:rPr>
                <w:rFonts w:ascii="Arial" w:hAnsi="Arial" w:cs="Arial"/>
                <w:color w:val="000000"/>
                <w:sz w:val="24"/>
                <w:szCs w:val="24"/>
              </w:rPr>
              <w:t>5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0.155</w:t>
            </w:r>
          </w:p>
        </w:tc>
      </w:tr>
      <w:tr w:rsidR="0095093D" w:rsidRPr="007E56DE" w:rsidTr="0095093D">
        <w:trPr>
          <w:trHeight w:val="25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93D" w:rsidRPr="007E56DE" w:rsidRDefault="0095093D" w:rsidP="004979E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6DE">
              <w:rPr>
                <w:rFonts w:ascii="Arial" w:hAnsi="Arial" w:cs="Arial"/>
                <w:color w:val="000000"/>
                <w:sz w:val="24"/>
                <w:szCs w:val="24"/>
              </w:rPr>
              <w:t>10 to 14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0.171</w:t>
            </w:r>
          </w:p>
        </w:tc>
      </w:tr>
      <w:tr w:rsidR="0095093D" w:rsidRPr="007E56DE" w:rsidTr="0095093D">
        <w:trPr>
          <w:trHeight w:val="26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93D" w:rsidRPr="007E56DE" w:rsidRDefault="0095093D" w:rsidP="004979E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6DE">
              <w:rPr>
                <w:rFonts w:ascii="Arial" w:hAnsi="Arial" w:cs="Arial"/>
                <w:color w:val="000000"/>
                <w:sz w:val="24"/>
                <w:szCs w:val="24"/>
              </w:rPr>
              <w:t>15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3D" w:rsidRPr="007E56DE" w:rsidRDefault="0095093D" w:rsidP="004979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0.187</w:t>
            </w:r>
          </w:p>
        </w:tc>
      </w:tr>
    </w:tbl>
    <w:p w:rsidR="007E56DE" w:rsidRPr="0095093D" w:rsidRDefault="007E56DE" w:rsidP="007E56DE">
      <w:pPr>
        <w:spacing w:after="0"/>
        <w:rPr>
          <w:rFonts w:ascii="Arial" w:hAnsi="Arial" w:cs="Arial"/>
          <w:sz w:val="24"/>
        </w:rPr>
      </w:pPr>
    </w:p>
    <w:p w:rsidR="0095093D" w:rsidRDefault="0095093D" w:rsidP="0095093D">
      <w:pPr>
        <w:spacing w:after="0"/>
        <w:jc w:val="both"/>
        <w:rPr>
          <w:rFonts w:ascii="Arial" w:hAnsi="Arial" w:cs="Arial"/>
          <w:sz w:val="24"/>
        </w:rPr>
      </w:pPr>
      <w:r w:rsidRPr="0095093D">
        <w:rPr>
          <w:rFonts w:ascii="Arial" w:hAnsi="Arial" w:cs="Arial"/>
          <w:sz w:val="24"/>
        </w:rPr>
        <w:t>The weeks to be paid for the TTO working patterns commonly worked in schools are sh</w:t>
      </w:r>
      <w:r>
        <w:rPr>
          <w:rFonts w:ascii="Arial" w:hAnsi="Arial" w:cs="Arial"/>
          <w:sz w:val="24"/>
        </w:rPr>
        <w:t>own in Table 2.</w:t>
      </w:r>
      <w:r w:rsidR="009615AC">
        <w:rPr>
          <w:rFonts w:ascii="Arial" w:hAnsi="Arial" w:cs="Arial"/>
          <w:sz w:val="24"/>
        </w:rPr>
        <w:t xml:space="preserve">  These values apply with effect from 1 April 2019.</w:t>
      </w:r>
    </w:p>
    <w:p w:rsidR="0095093D" w:rsidRPr="0095093D" w:rsidRDefault="0095093D" w:rsidP="0095093D">
      <w:pPr>
        <w:spacing w:after="0"/>
        <w:jc w:val="both"/>
        <w:rPr>
          <w:rFonts w:ascii="Arial" w:hAnsi="Arial" w:cs="Arial"/>
          <w:sz w:val="24"/>
        </w:rPr>
      </w:pPr>
    </w:p>
    <w:p w:rsidR="007E56DE" w:rsidRPr="0095093D" w:rsidRDefault="0095093D" w:rsidP="007E56DE">
      <w:pPr>
        <w:spacing w:after="0"/>
        <w:rPr>
          <w:rFonts w:ascii="Arial" w:hAnsi="Arial" w:cs="Arial"/>
          <w:b/>
          <w:sz w:val="24"/>
        </w:rPr>
      </w:pPr>
      <w:r w:rsidRPr="0095093D">
        <w:rPr>
          <w:rFonts w:ascii="Arial" w:hAnsi="Arial" w:cs="Arial"/>
          <w:b/>
          <w:sz w:val="24"/>
        </w:rPr>
        <w:t>Table 2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993"/>
        <w:gridCol w:w="1134"/>
        <w:gridCol w:w="1134"/>
        <w:gridCol w:w="1134"/>
        <w:gridCol w:w="1134"/>
      </w:tblGrid>
      <w:tr w:rsidR="007E56DE" w:rsidRPr="008420A0" w:rsidTr="004979E2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Weeks worked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Length of service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Less than 2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48.8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49.0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49.2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49.4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49.7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to 14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50.3</w:t>
            </w:r>
          </w:p>
        </w:tc>
      </w:tr>
      <w:tr w:rsidR="007E56DE" w:rsidRPr="008420A0" w:rsidTr="004979E2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years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DE" w:rsidRPr="008420A0" w:rsidRDefault="007E56DE" w:rsidP="00497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51.0</w:t>
            </w:r>
          </w:p>
        </w:tc>
      </w:tr>
    </w:tbl>
    <w:p w:rsidR="007E56DE" w:rsidRDefault="007E56DE" w:rsidP="007E56DE">
      <w:pPr>
        <w:spacing w:after="0"/>
      </w:pPr>
    </w:p>
    <w:p w:rsidR="0095093D" w:rsidRPr="0095093D" w:rsidRDefault="0095093D" w:rsidP="007E56D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="009615AC">
        <w:rPr>
          <w:rFonts w:ascii="Arial" w:hAnsi="Arial" w:cs="Arial"/>
          <w:sz w:val="16"/>
          <w:szCs w:val="16"/>
        </w:rPr>
        <w:t>March 2019</w:t>
      </w:r>
      <w:bookmarkStart w:id="0" w:name="_GoBack"/>
      <w:bookmarkEnd w:id="0"/>
    </w:p>
    <w:sectPr w:rsidR="0095093D" w:rsidRPr="0095093D" w:rsidSect="007E56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F2" w:rsidRDefault="00BE08F2" w:rsidP="00BE08F2">
      <w:pPr>
        <w:spacing w:after="0" w:line="240" w:lineRule="auto"/>
      </w:pPr>
      <w:r>
        <w:separator/>
      </w:r>
    </w:p>
  </w:endnote>
  <w:endnote w:type="continuationSeparator" w:id="0">
    <w:p w:rsidR="00BE08F2" w:rsidRDefault="00BE08F2" w:rsidP="00B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F2" w:rsidRPr="00CC6B48" w:rsidRDefault="00BE08F2" w:rsidP="00BE08F2">
    <w:pPr>
      <w:spacing w:after="0"/>
      <w:rPr>
        <w:rFonts w:ascii="Calibri" w:hAnsi="Calibri"/>
        <w:color w:val="1F497D"/>
        <w:sz w:val="18"/>
        <w:szCs w:val="18"/>
      </w:rPr>
    </w:pPr>
    <w:r w:rsidRPr="00CC6B48">
      <w:rPr>
        <w:rFonts w:ascii="Calibri" w:hAnsi="Calibri"/>
        <w:color w:val="1F497D"/>
        <w:sz w:val="18"/>
        <w:szCs w:val="18"/>
      </w:rPr>
      <w:t xml:space="preserve">North Yorkshire HR (NYHR) </w:t>
    </w:r>
  </w:p>
  <w:p w:rsidR="00BE08F2" w:rsidRPr="00CC6B48" w:rsidRDefault="00BE08F2" w:rsidP="00BE08F2">
    <w:pPr>
      <w:spacing w:after="0"/>
      <w:rPr>
        <w:rFonts w:ascii="Calibri" w:hAnsi="Calibri"/>
        <w:color w:val="1F497D"/>
        <w:sz w:val="18"/>
        <w:szCs w:val="18"/>
      </w:rPr>
    </w:pPr>
    <w:r w:rsidRPr="00CC6B48">
      <w:rPr>
        <w:rFonts w:ascii="Calibri" w:hAnsi="Calibri"/>
        <w:color w:val="1F497D"/>
        <w:sz w:val="18"/>
        <w:szCs w:val="18"/>
      </w:rPr>
      <w:t xml:space="preserve">North Yorkshire County Council, County Hall, Northallerton, North Yorkshire, DL7 8AD </w:t>
    </w:r>
  </w:p>
  <w:p w:rsidR="00BE08F2" w:rsidRPr="00CC6B48" w:rsidRDefault="00BE08F2" w:rsidP="00BE08F2">
    <w:pPr>
      <w:spacing w:after="0"/>
      <w:rPr>
        <w:rFonts w:ascii="Calibri" w:hAnsi="Calibri"/>
        <w:color w:val="1F497D"/>
        <w:sz w:val="18"/>
        <w:szCs w:val="18"/>
      </w:rPr>
    </w:pPr>
    <w:r w:rsidRPr="00CC6B48">
      <w:rPr>
        <w:rFonts w:ascii="Calibri" w:hAnsi="Calibri"/>
        <w:color w:val="1F497D"/>
        <w:sz w:val="18"/>
        <w:szCs w:val="18"/>
      </w:rPr>
      <w:t xml:space="preserve">01609 798343 </w:t>
    </w:r>
  </w:p>
  <w:p w:rsidR="00BE08F2" w:rsidRPr="00CC6B48" w:rsidRDefault="009615AC" w:rsidP="00BE08F2">
    <w:pPr>
      <w:spacing w:after="0"/>
      <w:rPr>
        <w:rFonts w:ascii="Calibri" w:hAnsi="Calibri"/>
        <w:color w:val="1F497D"/>
        <w:sz w:val="18"/>
        <w:szCs w:val="18"/>
      </w:rPr>
    </w:pPr>
    <w:hyperlink r:id="rId1" w:history="1">
      <w:r w:rsidR="00BE08F2" w:rsidRPr="00CC6B48">
        <w:rPr>
          <w:rFonts w:ascii="Calibri" w:hAnsi="Calibri"/>
          <w:color w:val="0000FF"/>
          <w:sz w:val="18"/>
          <w:szCs w:val="18"/>
          <w:u w:val="single"/>
        </w:rPr>
        <w:t>NYHR@northyorks.gov.uk</w:t>
      </w:r>
    </w:hyperlink>
  </w:p>
  <w:p w:rsidR="00BE08F2" w:rsidRPr="00CC6B48" w:rsidRDefault="009615AC" w:rsidP="00BE08F2">
    <w:pPr>
      <w:spacing w:after="0"/>
      <w:rPr>
        <w:rFonts w:ascii="Calibri" w:hAnsi="Calibri"/>
        <w:color w:val="1F497D"/>
        <w:sz w:val="18"/>
        <w:szCs w:val="18"/>
      </w:rPr>
    </w:pPr>
    <w:hyperlink r:id="rId2" w:history="1">
      <w:r w:rsidR="00BE08F2" w:rsidRPr="00CC6B48">
        <w:rPr>
          <w:rFonts w:ascii="Calibri" w:hAnsi="Calibri"/>
          <w:color w:val="0000FF"/>
          <w:sz w:val="18"/>
          <w:szCs w:val="18"/>
          <w:u w:val="single"/>
        </w:rPr>
        <w:t>http://cyps.northyorks.gov.uk/</w:t>
      </w:r>
    </w:hyperlink>
  </w:p>
  <w:p w:rsidR="00BE08F2" w:rsidRDefault="00BE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F2" w:rsidRDefault="00BE08F2" w:rsidP="00BE08F2">
      <w:pPr>
        <w:spacing w:after="0" w:line="240" w:lineRule="auto"/>
      </w:pPr>
      <w:r>
        <w:separator/>
      </w:r>
    </w:p>
  </w:footnote>
  <w:footnote w:type="continuationSeparator" w:id="0">
    <w:p w:rsidR="00BE08F2" w:rsidRDefault="00BE08F2" w:rsidP="00BE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10"/>
    <w:rsid w:val="00481B99"/>
    <w:rsid w:val="00566466"/>
    <w:rsid w:val="006E53E9"/>
    <w:rsid w:val="007E56DE"/>
    <w:rsid w:val="0095093D"/>
    <w:rsid w:val="009615AC"/>
    <w:rsid w:val="00B26E10"/>
    <w:rsid w:val="00B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D7D03-97CD-4345-895F-A377436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F2"/>
  </w:style>
  <w:style w:type="paragraph" w:styleId="Footer">
    <w:name w:val="footer"/>
    <w:basedOn w:val="Normal"/>
    <w:link w:val="FooterChar"/>
    <w:uiPriority w:val="99"/>
    <w:unhideWhenUsed/>
    <w:rsid w:val="00BE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yps.northyorks.gov.uk/" TargetMode="External"/><Relationship Id="rId1" Type="http://schemas.openxmlformats.org/officeDocument/2006/relationships/hyperlink" Target="mailto:NYHR@northyork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Fairley</dc:creator>
  <cp:keywords/>
  <dc:description/>
  <cp:lastModifiedBy>Katherine Fairley</cp:lastModifiedBy>
  <cp:revision>3</cp:revision>
  <dcterms:created xsi:type="dcterms:W3CDTF">2019-03-07T15:45:00Z</dcterms:created>
  <dcterms:modified xsi:type="dcterms:W3CDTF">2019-03-07T16:05:00Z</dcterms:modified>
</cp:coreProperties>
</file>